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7570B2" w:rsidP="007137F9">
      <w:pPr>
        <w:ind w:left="720"/>
        <w:jc w:val="center"/>
        <w:rPr>
          <w:b/>
          <w:sz w:val="32"/>
          <w:szCs w:val="32"/>
        </w:rPr>
      </w:pPr>
      <w:r>
        <w:rPr>
          <w:b/>
          <w:sz w:val="32"/>
          <w:szCs w:val="32"/>
        </w:rPr>
        <w:t>Monday</w:t>
      </w:r>
      <w:r w:rsidR="0023086F">
        <w:rPr>
          <w:b/>
          <w:sz w:val="32"/>
          <w:szCs w:val="32"/>
        </w:rPr>
        <w:t>,</w:t>
      </w:r>
      <w:r>
        <w:rPr>
          <w:b/>
          <w:sz w:val="32"/>
          <w:szCs w:val="32"/>
        </w:rPr>
        <w:t xml:space="preserve"> May 11</w:t>
      </w:r>
      <w:r w:rsidR="006C3A0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0E2186" w:rsidRDefault="000E2186" w:rsidP="003F17D9">
      <w:pPr>
        <w:spacing w:after="0" w:line="276" w:lineRule="auto"/>
        <w:rPr>
          <w:sz w:val="24"/>
          <w:szCs w:val="28"/>
        </w:rPr>
      </w:pPr>
      <w:r>
        <w:rPr>
          <w:sz w:val="24"/>
          <w:szCs w:val="28"/>
        </w:rPr>
        <w:t>Chicken Nuggets</w:t>
      </w:r>
    </w:p>
    <w:p w:rsidR="000E2186" w:rsidRDefault="000E2186" w:rsidP="003F17D9">
      <w:pPr>
        <w:spacing w:after="0" w:line="276" w:lineRule="auto"/>
        <w:rPr>
          <w:sz w:val="24"/>
          <w:szCs w:val="28"/>
        </w:rPr>
      </w:pPr>
      <w:r>
        <w:rPr>
          <w:sz w:val="24"/>
          <w:szCs w:val="28"/>
        </w:rPr>
        <w:t xml:space="preserve">Cheesy </w:t>
      </w:r>
      <w:bookmarkStart w:id="0" w:name="_GoBack"/>
      <w:bookmarkEnd w:id="0"/>
      <w:r>
        <w:rPr>
          <w:sz w:val="24"/>
          <w:szCs w:val="28"/>
        </w:rPr>
        <w:t>Potato Wedges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481146" w:rsidRDefault="000E2186" w:rsidP="001A2690">
      <w:pPr>
        <w:spacing w:after="0" w:line="276" w:lineRule="auto"/>
        <w:ind w:left="-360" w:firstLine="720"/>
        <w:rPr>
          <w:rFonts w:cstheme="minorHAnsi"/>
          <w:sz w:val="24"/>
          <w:szCs w:val="26"/>
        </w:rPr>
      </w:pPr>
      <w:r>
        <w:rPr>
          <w:rFonts w:cstheme="minorHAnsi"/>
          <w:sz w:val="24"/>
          <w:szCs w:val="26"/>
        </w:rPr>
        <w:t>Tenki</w:t>
      </w:r>
    </w:p>
    <w:p w:rsidR="003116C5" w:rsidRDefault="000E2186" w:rsidP="001A2690">
      <w:pPr>
        <w:spacing w:after="0" w:line="276" w:lineRule="auto"/>
        <w:ind w:left="-360" w:firstLine="720"/>
        <w:rPr>
          <w:rFonts w:cstheme="minorHAnsi"/>
          <w:sz w:val="24"/>
          <w:szCs w:val="26"/>
        </w:rPr>
      </w:pPr>
      <w:r>
        <w:rPr>
          <w:rFonts w:cstheme="minorHAnsi"/>
          <w:sz w:val="24"/>
          <w:szCs w:val="26"/>
        </w:rPr>
        <w:t>Hunter</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7570B2" w:rsidRDefault="007570B2"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will be an ASB meeting in the art room at lunch today.</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75DC"/>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6</cp:revision>
  <cp:lastPrinted>2026-05-11T15:07:00Z</cp:lastPrinted>
  <dcterms:created xsi:type="dcterms:W3CDTF">2026-05-08T15:04:00Z</dcterms:created>
  <dcterms:modified xsi:type="dcterms:W3CDTF">2026-05-11T15:08:00Z</dcterms:modified>
</cp:coreProperties>
</file>