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5116(a)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ATTENDANCE BOUNDARIES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shall establish school attendance boundaries in order to maximize the efficient use of district facilities and effective administration of district schools. The Superintendent/Principal or designee shall periodically review school attendance boundaries and, as necessary, make recommendations to the Board for boundary adjustments.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reviewing school attendance boundaries, the Superintendent/Principal or designee shall consider the following factors: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School enrollment data, including declining enrollment patterns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ab/>
        <w:t>Facility capacity and design, including potential commercial and residential developments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School feeder patterns, including maintaining, to the extent practicable, continuity of student attendance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Federal, state, or court mandates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Community input</w:t>
      </w:r>
    </w:p>
    <w:p w:rsidR="0067520F" w:rsidRPr="0067520F" w:rsidRDefault="0067520F" w:rsidP="0067520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Student safety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Transportation capacity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Community and neighborhood identity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Geographic features of the district, including traffic patterns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Educational programs, such as magnet schools and charter schools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7160 - Charter School Facilities)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Consistency between municipal boundaries and high school boundaries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Pr="0067520F" w:rsidRDefault="0067520F" w:rsidP="0067520F">
      <w:pPr>
        <w:pStyle w:val="ListParagraph"/>
        <w:numPr>
          <w:ilvl w:val="0"/>
          <w:numId w:val="1"/>
        </w:num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0F">
        <w:rPr>
          <w:rFonts w:ascii="Times New Roman" w:eastAsia="Times New Roman" w:hAnsi="Times New Roman" w:cs="Times New Roman"/>
          <w:sz w:val="24"/>
          <w:szCs w:val="24"/>
        </w:rPr>
        <w:t>Other factors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5116.1-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Intradistrict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Open Enrollment)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5117 -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Students residing in a community facilities district shall have priority, to the extent provided by law, for attendance at schools financed in whole or in part by the community facilities district.  The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degree of priority must reflect the proportion of each school's financing provided through the community facilities district. (Government Code 53312.7)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7212 - Mello-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Roos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Districts)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BP 5116(b)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SCHOOL ATTENDANCE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BOUNDARIES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67520F" w:rsidRDefault="0067520F" w:rsidP="0067520F">
      <w:pPr>
        <w:tabs>
          <w:tab w:val="right" w:pos="9000"/>
          <w:tab w:val="left" w:pos="72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order to alleviate overcrowding, the Superintendent/Principal or designee may place some students in a school outside of their attendance area.  Parents/guardians of students who are attending schools outside of their attendance area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notified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school their child will be attending as soon as possible.  If available, transportation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provided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for such students.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3541 - Transportation Routes and Services)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35160  Authority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governing boards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35160.1  Broad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authority of school districts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35160.5  District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policies; rules and regulations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35291  Rules</w:t>
      </w:r>
      <w:proofErr w:type="gramEnd"/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35350  Transportation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students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35351  Assignment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students to particular schools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GOVERNMENT CODE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53311-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53317.5  Establishment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community facilities district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CALIFORNIA CONSTITUTION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Article I, Section 31 Discrimination based on race, sex, color, ethnicity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COURT DECISIONS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Crawford v. Huntington Beach Union High School District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(2002) 98 Cal.App.4th 1275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Crawford v. Board of Education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(1976) 17 Cal.3d 280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Jackson v. Pasadena City School District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(1963) 59 Cal.2d 876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67520F" w:rsidRDefault="0067520F" w:rsidP="0067520F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67520F" w:rsidRDefault="0067520F" w:rsidP="0067520F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Education:  http://www.cde.ca.gov</w:t>
      </w: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7520F" w:rsidRDefault="0067520F" w:rsidP="0067520F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492EA5" w:rsidRDefault="0067520F" w:rsidP="0067520F"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sectPr w:rsidR="00492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C27"/>
    <w:multiLevelType w:val="hybridMultilevel"/>
    <w:tmpl w:val="E2F8EE7E"/>
    <w:lvl w:ilvl="0" w:tplc="7C902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0F"/>
    <w:rsid w:val="00492EA5"/>
    <w:rsid w:val="0067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FF19C"/>
  <w15:chartTrackingRefBased/>
  <w15:docId w15:val="{0847A874-6B58-48F1-81A9-880090FB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520F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2023-08-23T14:58:00Z</dcterms:created>
  <dcterms:modified xsi:type="dcterms:W3CDTF">2023-08-23T15:09:00Z</dcterms:modified>
</cp:coreProperties>
</file>