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10" w:rsidRDefault="00645010" w:rsidP="00645010">
      <w:r>
        <w:rPr>
          <w:b/>
        </w:rPr>
        <w:t>Board Bylaws</w:t>
      </w:r>
      <w:r>
        <w:rPr>
          <w:b/>
        </w:rPr>
        <w:tab/>
      </w:r>
      <w:r>
        <w:t>BB 9124(a)</w:t>
      </w:r>
    </w:p>
    <w:p w:rsidR="00645010" w:rsidRDefault="00645010" w:rsidP="00645010"/>
    <w:p w:rsidR="00645010" w:rsidRDefault="00645010" w:rsidP="00645010">
      <w:r>
        <w:rPr>
          <w:b/>
        </w:rPr>
        <w:t>ATTORNEY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The Board of Trustees recognizes the complex legal environment in which districts operate and desires reliable, high-quality legal advice at reasonable rates. In order to meet the district's legal needs, the Board may contract with county counsel, attorneys in private practice, or appoint legal counsel as a district employee or independent contractor. The Board also supports pursuing collaborative legal efforts with other agencies and districts as appropriate.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(cf. </w:t>
      </w:r>
      <w:hyperlink r:id="rId4">
        <w:r>
          <w:rPr>
            <w:i/>
            <w:color w:val="000066"/>
            <w:sz w:val="20"/>
            <w:szCs w:val="20"/>
            <w:u w:val="single"/>
          </w:rPr>
          <w:t>3320</w:t>
        </w:r>
      </w:hyperlink>
      <w:r>
        <w:rPr>
          <w:i/>
          <w:color w:val="000000"/>
          <w:sz w:val="20"/>
          <w:szCs w:val="20"/>
        </w:rPr>
        <w:t xml:space="preserve"> - Claims and Actions </w:t>
      </w:r>
      <w:proofErr w:type="gramStart"/>
      <w:r>
        <w:rPr>
          <w:i/>
          <w:color w:val="000000"/>
          <w:sz w:val="20"/>
          <w:szCs w:val="20"/>
        </w:rPr>
        <w:t>Against</w:t>
      </w:r>
      <w:proofErr w:type="gramEnd"/>
      <w:r>
        <w:rPr>
          <w:i/>
          <w:color w:val="000000"/>
          <w:sz w:val="20"/>
          <w:szCs w:val="20"/>
        </w:rPr>
        <w:t xml:space="preserve"> the District)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(cf. </w:t>
      </w:r>
      <w:hyperlink r:id="rId5">
        <w:r>
          <w:rPr>
            <w:i/>
            <w:color w:val="000066"/>
            <w:sz w:val="20"/>
            <w:szCs w:val="20"/>
            <w:u w:val="single"/>
          </w:rPr>
          <w:t>3400</w:t>
        </w:r>
      </w:hyperlink>
      <w:r>
        <w:rPr>
          <w:i/>
          <w:color w:val="000000"/>
          <w:sz w:val="20"/>
          <w:szCs w:val="20"/>
        </w:rPr>
        <w:t xml:space="preserve"> - Management of District Assets/Accounts)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(cf. </w:t>
      </w:r>
      <w:hyperlink r:id="rId6">
        <w:r>
          <w:rPr>
            <w:i/>
            <w:color w:val="000066"/>
            <w:sz w:val="20"/>
            <w:szCs w:val="20"/>
            <w:u w:val="single"/>
          </w:rPr>
          <w:t>4312.1</w:t>
        </w:r>
      </w:hyperlink>
      <w:r>
        <w:rPr>
          <w:i/>
          <w:color w:val="000000"/>
          <w:sz w:val="20"/>
          <w:szCs w:val="20"/>
        </w:rPr>
        <w:t xml:space="preserve"> - Contracts)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(cf. </w:t>
      </w:r>
      <w:hyperlink r:id="rId7">
        <w:r>
          <w:rPr>
            <w:i/>
            <w:color w:val="000066"/>
            <w:sz w:val="20"/>
            <w:szCs w:val="20"/>
            <w:u w:val="single"/>
          </w:rPr>
          <w:t>9000</w:t>
        </w:r>
      </w:hyperlink>
      <w:r>
        <w:rPr>
          <w:i/>
          <w:color w:val="000000"/>
          <w:sz w:val="20"/>
          <w:szCs w:val="20"/>
        </w:rPr>
        <w:t xml:space="preserve"> - Role of the Board)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(cf. </w:t>
      </w:r>
      <w:hyperlink r:id="rId8">
        <w:r>
          <w:rPr>
            <w:i/>
            <w:color w:val="000066"/>
            <w:sz w:val="20"/>
            <w:szCs w:val="20"/>
            <w:u w:val="single"/>
          </w:rPr>
          <w:t>9260</w:t>
        </w:r>
      </w:hyperlink>
      <w:r>
        <w:rPr>
          <w:i/>
          <w:color w:val="000000"/>
          <w:sz w:val="20"/>
          <w:szCs w:val="20"/>
        </w:rPr>
        <w:t xml:space="preserve"> - Legal Protection)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Duties of Legal Counsel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 xml:space="preserve">The district's legal counsel may: (Education Code </w:t>
      </w:r>
      <w:hyperlink r:id="rId9">
        <w:r>
          <w:rPr>
            <w:color w:val="000066"/>
            <w:u w:val="single"/>
          </w:rPr>
          <w:t>35041.5</w:t>
        </w:r>
      </w:hyperlink>
      <w:r>
        <w:rPr>
          <w:color w:val="000000"/>
        </w:rPr>
        <w:t>)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1. Render legal advice to the Board and the Superintendent/Principal or designee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2. Serve the Board and the Superintendent/Principal or designee in the preparation and conduct of district litigation and administrative proceedings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3. Render advice on school bond and tax increase measures and prepare the necessary forms for the voting of these measures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4. Perform other administrative duties as assigned by the Board and Superintendent/Principal or designee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Retaining Legal Counsel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 xml:space="preserve">When the district is seeking legal advice or representation, the Superintendent/Principal or designee shall initiate a Request for Proposals (RFP) to advertise and solicit proposals for legal services. In evaluating the proposals, the Board and Superintendent/Principal shall consider the </w:t>
      </w:r>
      <w:proofErr w:type="gramStart"/>
      <w:r>
        <w:rPr>
          <w:color w:val="000000"/>
        </w:rPr>
        <w:t>firm's</w:t>
      </w:r>
      <w:proofErr w:type="gramEnd"/>
      <w:r>
        <w:rPr>
          <w:color w:val="000000"/>
        </w:rPr>
        <w:t xml:space="preserve"> or attorney's background, experience, and reputation in education law; experience advising or representing school districts in California; fees; and experience of attorneys at the firm who will provide legal services.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The Board and Superintendent/Principal shall annually evaluate the performance of the firm and/or attorneys providing legal services in such areas as efficiency and adequacy of advice; results obtained for the district; reasonableness of fees; and responsiveness to and interactions with the Board, administration, and community. Upon a successful evaluation, the Board may renew the agreement with legal counsel without initiating an RFP.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lastRenderedPageBreak/>
        <w:t xml:space="preserve">The Board may also contract for temporary, specialized legal services without initiating an RFP when a majority of the Board determines that the unique demands of a particular issue or </w:t>
      </w:r>
      <w:proofErr w:type="gramStart"/>
      <w:r>
        <w:rPr>
          <w:color w:val="000000"/>
        </w:rPr>
        <w:t>emergency situation</w:t>
      </w:r>
      <w:proofErr w:type="gramEnd"/>
      <w:r>
        <w:rPr>
          <w:color w:val="000000"/>
        </w:rPr>
        <w:t xml:space="preserve"> so requires.</w:t>
      </w:r>
    </w:p>
    <w:p w:rsidR="00645010" w:rsidRDefault="00645010" w:rsidP="00645010">
      <w:r>
        <w:rPr>
          <w:b/>
        </w:rPr>
        <w:t>Board Bylaws</w:t>
      </w:r>
      <w:r>
        <w:rPr>
          <w:b/>
        </w:rPr>
        <w:tab/>
      </w:r>
      <w:r>
        <w:t>BB 9124(b)</w:t>
      </w:r>
    </w:p>
    <w:p w:rsidR="00645010" w:rsidRDefault="00645010" w:rsidP="00645010">
      <w:pPr>
        <w:rPr>
          <w:color w:val="000000"/>
        </w:rPr>
      </w:pPr>
      <w:r>
        <w:rPr>
          <w:color w:val="000000"/>
        </w:rPr>
        <w:t xml:space="preserve">(cf. </w:t>
      </w:r>
      <w:hyperlink r:id="rId10">
        <w:r>
          <w:rPr>
            <w:color w:val="000066"/>
            <w:u w:val="single"/>
          </w:rPr>
          <w:t>2121</w:t>
        </w:r>
      </w:hyperlink>
      <w:r>
        <w:rPr>
          <w:color w:val="000000"/>
        </w:rPr>
        <w:t xml:space="preserve"> - Superintendent's Contract)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  <w:r>
        <w:rPr>
          <w:color w:val="000000"/>
        </w:rPr>
        <w:t>Contacting Legal Counsel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  <w:r>
        <w:rPr>
          <w:color w:val="000000"/>
        </w:rPr>
        <w:t>At his/her discretion, the Board president or Superintendent/Principal may confer with district legal counsel subject to any limits or parameters established by the Board. In addition, the Superintendent/Principal or Board president may contact district legal counsel to provide the Board with legal information or advice when so directed by a majority of the Board.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</w:pPr>
      <w:r>
        <w:rPr>
          <w:color w:val="000000"/>
        </w:rPr>
        <w:t>Individual Board members other than the Board president may not seek advice from district legal counsel on matters of district business unless so authorized by a majority of the Board.</w:t>
      </w:r>
    </w:p>
    <w:p w:rsidR="00645010" w:rsidRDefault="00645010" w:rsidP="00645010">
      <w:pPr>
        <w:keepNext/>
        <w:pBdr>
          <w:top w:val="nil"/>
          <w:left w:val="nil"/>
          <w:bottom w:val="nil"/>
          <w:right w:val="nil"/>
          <w:between w:val="nil"/>
        </w:pBdr>
        <w:jc w:val="left"/>
        <w:rPr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(cf. </w:t>
      </w:r>
      <w:hyperlink r:id="rId11">
        <w:r>
          <w:rPr>
            <w:i/>
            <w:color w:val="000066"/>
            <w:sz w:val="20"/>
            <w:szCs w:val="20"/>
            <w:u w:val="single"/>
          </w:rPr>
          <w:t>9200</w:t>
        </w:r>
      </w:hyperlink>
      <w:r>
        <w:rPr>
          <w:i/>
          <w:color w:val="000000"/>
          <w:sz w:val="20"/>
          <w:szCs w:val="20"/>
        </w:rPr>
        <w:t xml:space="preserve"> - Limits of Board Member Authority)</w:t>
      </w:r>
    </w:p>
    <w:p w:rsidR="00645010" w:rsidRDefault="00645010" w:rsidP="00645010">
      <w:pPr>
        <w:keepNext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(cf. </w:t>
      </w:r>
      <w:hyperlink r:id="rId12">
        <w:r>
          <w:rPr>
            <w:i/>
            <w:color w:val="000066"/>
            <w:sz w:val="20"/>
            <w:szCs w:val="20"/>
            <w:u w:val="single"/>
          </w:rPr>
          <w:t>9321</w:t>
        </w:r>
      </w:hyperlink>
      <w:r>
        <w:rPr>
          <w:i/>
          <w:color w:val="000000"/>
          <w:sz w:val="20"/>
          <w:szCs w:val="20"/>
        </w:rPr>
        <w:t xml:space="preserve"> - Closed Session Purposes and Agendas)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Legal Reference: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EDUCATION CODE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3">
        <w:proofErr w:type="gramStart"/>
        <w:r>
          <w:rPr>
            <w:i/>
            <w:color w:val="000066"/>
            <w:sz w:val="20"/>
            <w:szCs w:val="20"/>
            <w:u w:val="single"/>
          </w:rPr>
          <w:t>35041</w:t>
        </w:r>
        <w:proofErr w:type="gramEnd"/>
      </w:hyperlink>
      <w:r>
        <w:rPr>
          <w:i/>
          <w:color w:val="000000"/>
          <w:sz w:val="20"/>
          <w:szCs w:val="20"/>
        </w:rPr>
        <w:t xml:space="preserve"> Administrative adviser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4">
        <w:r>
          <w:rPr>
            <w:i/>
            <w:color w:val="000066"/>
            <w:sz w:val="20"/>
            <w:szCs w:val="20"/>
            <w:u w:val="single"/>
          </w:rPr>
          <w:t>35041.5</w:t>
        </w:r>
      </w:hyperlink>
      <w:r>
        <w:rPr>
          <w:i/>
          <w:color w:val="000000"/>
          <w:sz w:val="20"/>
          <w:szCs w:val="20"/>
        </w:rPr>
        <w:t xml:space="preserve"> Legal counsel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5">
        <w:proofErr w:type="gramStart"/>
        <w:r>
          <w:rPr>
            <w:i/>
            <w:color w:val="000066"/>
            <w:sz w:val="20"/>
            <w:szCs w:val="20"/>
            <w:u w:val="single"/>
          </w:rPr>
          <w:t>35161</w:t>
        </w:r>
        <w:proofErr w:type="gramEnd"/>
      </w:hyperlink>
      <w:r>
        <w:rPr>
          <w:i/>
          <w:color w:val="000000"/>
          <w:sz w:val="20"/>
          <w:szCs w:val="20"/>
        </w:rPr>
        <w:t xml:space="preserve"> Powers and duties of governing board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6">
        <w:r>
          <w:rPr>
            <w:i/>
            <w:color w:val="000066"/>
            <w:sz w:val="20"/>
            <w:szCs w:val="20"/>
            <w:u w:val="single"/>
          </w:rPr>
          <w:t>35200</w:t>
        </w:r>
      </w:hyperlink>
      <w:r>
        <w:rPr>
          <w:i/>
          <w:color w:val="000000"/>
          <w:sz w:val="20"/>
          <w:szCs w:val="20"/>
        </w:rPr>
        <w:t>-</w:t>
      </w:r>
      <w:hyperlink r:id="rId17">
        <w:r>
          <w:rPr>
            <w:i/>
            <w:color w:val="000066"/>
            <w:sz w:val="20"/>
            <w:szCs w:val="20"/>
            <w:u w:val="single"/>
          </w:rPr>
          <w:t>35214</w:t>
        </w:r>
      </w:hyperlink>
      <w:r>
        <w:rPr>
          <w:i/>
          <w:color w:val="000000"/>
          <w:sz w:val="20"/>
          <w:szCs w:val="20"/>
        </w:rPr>
        <w:t xml:space="preserve"> Liabilities, especially: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8">
        <w:proofErr w:type="gramStart"/>
        <w:r>
          <w:rPr>
            <w:i/>
            <w:color w:val="000066"/>
            <w:sz w:val="20"/>
            <w:szCs w:val="20"/>
            <w:u w:val="single"/>
          </w:rPr>
          <w:t>35204</w:t>
        </w:r>
        <w:proofErr w:type="gramEnd"/>
      </w:hyperlink>
      <w:r>
        <w:rPr>
          <w:i/>
          <w:color w:val="000000"/>
          <w:sz w:val="20"/>
          <w:szCs w:val="20"/>
        </w:rPr>
        <w:t xml:space="preserve"> Contract with attorney in private practice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9">
        <w:proofErr w:type="gramStart"/>
        <w:r>
          <w:rPr>
            <w:i/>
            <w:color w:val="000066"/>
            <w:sz w:val="20"/>
            <w:szCs w:val="20"/>
            <w:u w:val="single"/>
          </w:rPr>
          <w:t>35205</w:t>
        </w:r>
        <w:proofErr w:type="gramEnd"/>
      </w:hyperlink>
      <w:r>
        <w:rPr>
          <w:i/>
          <w:color w:val="000000"/>
          <w:sz w:val="20"/>
          <w:szCs w:val="20"/>
        </w:rPr>
        <w:t xml:space="preserve"> Contract for legal services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GOVERNMENT CODE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20">
        <w:r>
          <w:rPr>
            <w:i/>
            <w:color w:val="000066"/>
            <w:sz w:val="20"/>
            <w:szCs w:val="20"/>
            <w:u w:val="single"/>
          </w:rPr>
          <w:t>814</w:t>
        </w:r>
      </w:hyperlink>
      <w:r>
        <w:rPr>
          <w:i/>
          <w:color w:val="000000"/>
          <w:sz w:val="20"/>
          <w:szCs w:val="20"/>
        </w:rPr>
        <w:t>-</w:t>
      </w:r>
      <w:hyperlink r:id="rId21">
        <w:r>
          <w:rPr>
            <w:i/>
            <w:color w:val="000066"/>
            <w:sz w:val="20"/>
            <w:szCs w:val="20"/>
            <w:u w:val="single"/>
          </w:rPr>
          <w:t>895.8</w:t>
        </w:r>
      </w:hyperlink>
      <w:r>
        <w:rPr>
          <w:i/>
          <w:color w:val="000000"/>
          <w:sz w:val="20"/>
          <w:szCs w:val="20"/>
        </w:rPr>
        <w:t xml:space="preserve"> Liability of public entities and public employees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22">
        <w:r>
          <w:rPr>
            <w:i/>
            <w:color w:val="000066"/>
            <w:sz w:val="20"/>
            <w:szCs w:val="20"/>
            <w:u w:val="single"/>
          </w:rPr>
          <w:t>995</w:t>
        </w:r>
      </w:hyperlink>
      <w:r>
        <w:rPr>
          <w:i/>
          <w:color w:val="000000"/>
          <w:sz w:val="20"/>
          <w:szCs w:val="20"/>
        </w:rPr>
        <w:t>-</w:t>
      </w:r>
      <w:hyperlink r:id="rId23">
        <w:r>
          <w:rPr>
            <w:i/>
            <w:color w:val="000066"/>
            <w:sz w:val="20"/>
            <w:szCs w:val="20"/>
            <w:u w:val="single"/>
          </w:rPr>
          <w:t>996.6</w:t>
        </w:r>
      </w:hyperlink>
      <w:r>
        <w:rPr>
          <w:i/>
          <w:color w:val="000000"/>
          <w:sz w:val="20"/>
          <w:szCs w:val="20"/>
        </w:rPr>
        <w:t xml:space="preserve"> Defense of public employees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24">
        <w:proofErr w:type="gramStart"/>
        <w:r>
          <w:rPr>
            <w:i/>
            <w:color w:val="000066"/>
            <w:sz w:val="20"/>
            <w:szCs w:val="20"/>
            <w:u w:val="single"/>
          </w:rPr>
          <w:t>26520</w:t>
        </w:r>
        <w:proofErr w:type="gramEnd"/>
      </w:hyperlink>
      <w:r>
        <w:rPr>
          <w:i/>
          <w:color w:val="000000"/>
          <w:sz w:val="20"/>
          <w:szCs w:val="20"/>
        </w:rPr>
        <w:t xml:space="preserve"> Legal services to school districts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25">
        <w:proofErr w:type="gramStart"/>
        <w:r>
          <w:rPr>
            <w:i/>
            <w:color w:val="000066"/>
            <w:sz w:val="20"/>
            <w:szCs w:val="20"/>
            <w:u w:val="single"/>
          </w:rPr>
          <w:t>53060</w:t>
        </w:r>
        <w:proofErr w:type="gramEnd"/>
      </w:hyperlink>
      <w:r>
        <w:rPr>
          <w:i/>
          <w:color w:val="000000"/>
          <w:sz w:val="20"/>
          <w:szCs w:val="20"/>
        </w:rPr>
        <w:t xml:space="preserve"> Special services and advice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Management Resources: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CSBA PUBLICATIONS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The Brown Act: School Boards and Open Meeting Laws, rev. 2007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Maximizing School Board Leadership: </w:t>
      </w:r>
      <w:proofErr w:type="spellStart"/>
      <w:r>
        <w:rPr>
          <w:i/>
          <w:color w:val="000000"/>
          <w:sz w:val="20"/>
          <w:szCs w:val="20"/>
        </w:rPr>
        <w:t>Boardsmanship</w:t>
      </w:r>
      <w:proofErr w:type="spellEnd"/>
      <w:r>
        <w:rPr>
          <w:i/>
          <w:color w:val="000000"/>
          <w:sz w:val="20"/>
          <w:szCs w:val="20"/>
        </w:rPr>
        <w:t>, 1996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NATIONAL SCHOOL BOARDS ASSOCIATION PUBLICATIONS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Selecting and Working with a School Attorney: A Guide for School Boards, 1997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WEB SITES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CSBA: </w:t>
      </w:r>
      <w:hyperlink r:id="rId26">
        <w:r>
          <w:rPr>
            <w:i/>
            <w:color w:val="000066"/>
            <w:sz w:val="20"/>
            <w:szCs w:val="20"/>
            <w:u w:val="single"/>
          </w:rPr>
          <w:t>http://www.csba.org</w:t>
        </w:r>
      </w:hyperlink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California Council of School Attorneys: </w:t>
      </w:r>
      <w:hyperlink r:id="rId27">
        <w:r>
          <w:rPr>
            <w:i/>
            <w:color w:val="000066"/>
            <w:sz w:val="20"/>
            <w:szCs w:val="20"/>
            <w:u w:val="single"/>
          </w:rPr>
          <w:t>http://www.csba.org</w:t>
        </w:r>
      </w:hyperlink>
      <w:r>
        <w:rPr>
          <w:i/>
          <w:color w:val="000000"/>
          <w:sz w:val="20"/>
          <w:szCs w:val="20"/>
        </w:rPr>
        <w:t>/LegislationAndLegal/Legal/CaliforniaCouncilOfSchoolAttorneys.aspx"&gt;http://www.csba.org"&gt;http://www.csba.org/LegislationAndLegal/Legal/CaliforniaCouncilOfSchoolAttorneys.aspx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National School Boards Association: http://www.nsba.org</w:t>
      </w:r>
    </w:p>
    <w:p w:rsidR="00645010" w:rsidRDefault="00645010" w:rsidP="00645010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State Bar of California: http://www.calbar.ca.gov</w:t>
      </w:r>
    </w:p>
    <w:p w:rsidR="00645010" w:rsidRDefault="00645010" w:rsidP="00645010"/>
    <w:p w:rsidR="00645010" w:rsidRDefault="00645010" w:rsidP="00645010"/>
    <w:p w:rsidR="00645010" w:rsidRDefault="00645010" w:rsidP="00645010">
      <w:r>
        <w:t>Bylaw</w:t>
      </w:r>
      <w:r>
        <w:tab/>
      </w:r>
      <w:r>
        <w:rPr>
          <w:b/>
        </w:rPr>
        <w:t>WINSHIP-ROBBINS ELEMENTARY SCHOOL DISTRICT</w:t>
      </w:r>
    </w:p>
    <w:p w:rsidR="00645010" w:rsidRDefault="00645010" w:rsidP="00645010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142F9F" w:rsidRDefault="00142F9F">
      <w:bookmarkStart w:id="0" w:name="_GoBack"/>
      <w:bookmarkEnd w:id="0"/>
    </w:p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10"/>
    <w:rsid w:val="00142F9F"/>
    <w:rsid w:val="0064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26398D-0585-40A2-9A38-C812F6F3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45010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mutonline.net/displayPolicy/690124/9" TargetMode="External"/><Relationship Id="rId13" Type="http://schemas.openxmlformats.org/officeDocument/2006/relationships/hyperlink" Target="http://gamutonline.net/displayPolicy/131369/9" TargetMode="External"/><Relationship Id="rId18" Type="http://schemas.openxmlformats.org/officeDocument/2006/relationships/hyperlink" Target="http://gamutonline.net/displayPolicy/131425/9" TargetMode="External"/><Relationship Id="rId26" Type="http://schemas.openxmlformats.org/officeDocument/2006/relationships/hyperlink" Target="http://www.csba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gamutonline.net/displayPolicy/144210/9" TargetMode="External"/><Relationship Id="rId7" Type="http://schemas.openxmlformats.org/officeDocument/2006/relationships/hyperlink" Target="http://gamutonline.net/displayPolicy/690103/9" TargetMode="External"/><Relationship Id="rId12" Type="http://schemas.openxmlformats.org/officeDocument/2006/relationships/hyperlink" Target="http://gamutonline.net/displayPolicy/690129/9" TargetMode="External"/><Relationship Id="rId17" Type="http://schemas.openxmlformats.org/officeDocument/2006/relationships/hyperlink" Target="http://gamutonline.net/displayPolicy/131431/9" TargetMode="External"/><Relationship Id="rId25" Type="http://schemas.openxmlformats.org/officeDocument/2006/relationships/hyperlink" Target="http://gamutonline.net/displayPolicy/144832/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amutonline.net/displayPolicy/131423/9" TargetMode="External"/><Relationship Id="rId20" Type="http://schemas.openxmlformats.org/officeDocument/2006/relationships/hyperlink" Target="http://gamutonline.net/displayPolicy/146318/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gamutonline.net/displayPolicy/689865/9" TargetMode="External"/><Relationship Id="rId11" Type="http://schemas.openxmlformats.org/officeDocument/2006/relationships/hyperlink" Target="http://gamutonline.net/displayPolicy/690116/9" TargetMode="External"/><Relationship Id="rId24" Type="http://schemas.openxmlformats.org/officeDocument/2006/relationships/hyperlink" Target="http://gamutonline.net/displayPolicy/223374/9" TargetMode="External"/><Relationship Id="rId5" Type="http://schemas.openxmlformats.org/officeDocument/2006/relationships/hyperlink" Target="http://gamutonline.net/displayPolicy/689568/9" TargetMode="External"/><Relationship Id="rId15" Type="http://schemas.openxmlformats.org/officeDocument/2006/relationships/hyperlink" Target="http://gamutonline.net/displayPolicy/131400/9" TargetMode="External"/><Relationship Id="rId23" Type="http://schemas.openxmlformats.org/officeDocument/2006/relationships/hyperlink" Target="http://gamutonline.net/displayPolicy/144358/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gamutonline.net/displayPolicy/689542/9" TargetMode="External"/><Relationship Id="rId19" Type="http://schemas.openxmlformats.org/officeDocument/2006/relationships/hyperlink" Target="http://gamutonline.net/displayPolicy/131426/9" TargetMode="External"/><Relationship Id="rId4" Type="http://schemas.openxmlformats.org/officeDocument/2006/relationships/hyperlink" Target="http://gamutonline.net/displayPolicy/689566/9" TargetMode="External"/><Relationship Id="rId9" Type="http://schemas.openxmlformats.org/officeDocument/2006/relationships/hyperlink" Target="http://gamutonline.net/displayPolicy/131370/9" TargetMode="External"/><Relationship Id="rId14" Type="http://schemas.openxmlformats.org/officeDocument/2006/relationships/hyperlink" Target="http://gamutonline.net/displayPolicy/131370/9" TargetMode="External"/><Relationship Id="rId22" Type="http://schemas.openxmlformats.org/officeDocument/2006/relationships/hyperlink" Target="http://gamutonline.net/displayPolicy/146377/9" TargetMode="External"/><Relationship Id="rId27" Type="http://schemas.openxmlformats.org/officeDocument/2006/relationships/hyperlink" Target="http://gamutonline.net/DisplayPolicy/690113/%3Ca%20href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2023-08-23T20:52:00Z</dcterms:created>
  <dcterms:modified xsi:type="dcterms:W3CDTF">2023-08-23T20:53:00Z</dcterms:modified>
</cp:coreProperties>
</file>