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1"/>
        <w:spacing w:before="72"/>
        <w:ind w:left="240"/>
      </w:pPr>
      <w:bookmarkStart w:name="Plan de Contabilidad y Control Local" w:id="1"/>
      <w:bookmarkEnd w:id="1"/>
      <w:r>
        <w:rPr>
          <w:b w:val="0"/>
        </w:rPr>
      </w:r>
      <w:r>
        <w:rPr/>
        <w:t>Plan de Contabilidad y Control Local</w:t>
      </w:r>
    </w:p>
    <w:p>
      <w:pPr>
        <w:spacing w:before="276"/>
        <w:ind w:left="240" w:right="523" w:firstLine="0"/>
        <w:jc w:val="left"/>
        <w:rPr>
          <w:b/>
          <w:sz w:val="24"/>
        </w:rPr>
      </w:pPr>
      <w:r>
        <w:rPr>
          <w:b/>
          <w:sz w:val="24"/>
        </w:rPr>
        <w:t>Las instrucciones para completar el Plan de Contabilidad y Control Local (LCAP, por sus siglas en inglés) se encuentran después de la plantilla.</w:t>
      </w:r>
    </w:p>
    <w:p>
      <w:pPr>
        <w:pStyle w:val="BodyText"/>
        <w:spacing w:before="11"/>
        <w:rPr>
          <w:b/>
          <w:sz w:val="23"/>
        </w:rPr>
      </w:pPr>
    </w:p>
    <w:tbl>
      <w:tblPr>
        <w:tblW w:w="0" w:type="auto"/>
        <w:jc w:val="left"/>
        <w:tblInd w:w="250"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ayout w:type="fixed"/>
        <w:tblCellMar>
          <w:top w:w="0" w:type="dxa"/>
          <w:left w:w="0" w:type="dxa"/>
          <w:bottom w:w="0" w:type="dxa"/>
          <w:right w:w="0" w:type="dxa"/>
        </w:tblCellMar>
        <w:tblLook w:val="01E0"/>
      </w:tblPr>
      <w:tblGrid>
        <w:gridCol w:w="5031"/>
        <w:gridCol w:w="5043"/>
        <w:gridCol w:w="5036"/>
      </w:tblGrid>
      <w:tr>
        <w:trPr>
          <w:trHeight w:val="417" w:hRule="atLeast"/>
        </w:trPr>
        <w:tc>
          <w:tcPr>
            <w:tcW w:w="5031" w:type="dxa"/>
            <w:shd w:val="clear" w:color="auto" w:fill="DBE5F1"/>
          </w:tcPr>
          <w:p>
            <w:pPr>
              <w:pStyle w:val="TableParagraph"/>
              <w:spacing w:before="100"/>
              <w:ind w:left="58"/>
              <w:rPr>
                <w:sz w:val="24"/>
              </w:rPr>
            </w:pPr>
            <w:r>
              <w:rPr>
                <w:sz w:val="24"/>
              </w:rPr>
              <w:t>Nombre de la Agencia Educativa Local (LEA)</w:t>
            </w:r>
          </w:p>
        </w:tc>
        <w:tc>
          <w:tcPr>
            <w:tcW w:w="5043" w:type="dxa"/>
            <w:shd w:val="clear" w:color="auto" w:fill="DBE5F1"/>
          </w:tcPr>
          <w:p>
            <w:pPr>
              <w:pStyle w:val="TableParagraph"/>
              <w:spacing w:before="100"/>
              <w:ind w:left="58"/>
              <w:rPr>
                <w:sz w:val="24"/>
              </w:rPr>
            </w:pPr>
            <w:r>
              <w:rPr>
                <w:sz w:val="24"/>
              </w:rPr>
              <w:t>Nombre y Cargo del Contacto</w:t>
            </w:r>
          </w:p>
        </w:tc>
        <w:tc>
          <w:tcPr>
            <w:tcW w:w="5036" w:type="dxa"/>
            <w:shd w:val="clear" w:color="auto" w:fill="DBE5F1"/>
          </w:tcPr>
          <w:p>
            <w:pPr>
              <w:pStyle w:val="TableParagraph"/>
              <w:spacing w:before="100"/>
              <w:ind w:left="58"/>
              <w:rPr>
                <w:sz w:val="24"/>
              </w:rPr>
            </w:pPr>
            <w:r>
              <w:rPr>
                <w:sz w:val="24"/>
              </w:rPr>
              <w:t>Correo Electrónico y Teléfono</w:t>
            </w:r>
          </w:p>
        </w:tc>
      </w:tr>
      <w:tr>
        <w:trPr>
          <w:trHeight w:val="563" w:hRule="atLeast"/>
        </w:trPr>
        <w:tc>
          <w:tcPr>
            <w:tcW w:w="5031" w:type="dxa"/>
          </w:tcPr>
          <w:p>
            <w:pPr>
              <w:pStyle w:val="TableParagraph"/>
              <w:spacing w:before="58"/>
              <w:ind w:left="58"/>
              <w:rPr>
                <w:sz w:val="22"/>
              </w:rPr>
            </w:pPr>
            <w:r>
              <w:rPr>
                <w:sz w:val="22"/>
              </w:rPr>
              <w:t>Distrito Escolar Primario de Winship-Robbins</w:t>
            </w:r>
          </w:p>
        </w:tc>
        <w:tc>
          <w:tcPr>
            <w:tcW w:w="5043" w:type="dxa"/>
          </w:tcPr>
          <w:p>
            <w:pPr>
              <w:pStyle w:val="TableParagraph"/>
              <w:spacing w:line="250" w:lineRule="atLeast" w:before="58"/>
              <w:ind w:left="58" w:right="3340"/>
              <w:rPr>
                <w:sz w:val="22"/>
              </w:rPr>
            </w:pPr>
            <w:r>
              <w:rPr>
                <w:sz w:val="22"/>
              </w:rPr>
              <w:t>Dawn Carl Superintendente</w:t>
            </w:r>
          </w:p>
        </w:tc>
        <w:tc>
          <w:tcPr>
            <w:tcW w:w="5036" w:type="dxa"/>
          </w:tcPr>
          <w:p>
            <w:pPr>
              <w:pStyle w:val="TableParagraph"/>
              <w:spacing w:line="250" w:lineRule="atLeast" w:before="58"/>
              <w:ind w:left="58" w:right="2553"/>
              <w:rPr>
                <w:sz w:val="22"/>
              </w:rPr>
            </w:pPr>
            <w:hyperlink r:id="rId6">
              <w:r>
                <w:rPr>
                  <w:sz w:val="22"/>
                </w:rPr>
                <w:t>dawn</w:t>
              </w:r>
            </w:hyperlink>
            <w:hyperlink r:id="rId7">
              <w:r>
                <w:rPr>
                  <w:sz w:val="22"/>
                </w:rPr>
                <w:t>c@sutter.k12.ca.us</w:t>
              </w:r>
            </w:hyperlink>
            <w:r>
              <w:rPr>
                <w:sz w:val="22"/>
              </w:rPr>
              <w:t> 530-738-4386</w:t>
            </w:r>
          </w:p>
        </w:tc>
      </w:tr>
    </w:tbl>
    <w:p>
      <w:pPr>
        <w:pStyle w:val="BodyText"/>
        <w:spacing w:before="6"/>
        <w:rPr>
          <w:b/>
          <w:sz w:val="20"/>
        </w:rPr>
      </w:pPr>
      <w:r>
        <w:rPr/>
        <w:pict>
          <v:shape style="position:absolute;margin-left:11.425pt;margin-top:14.924pt;width:769.15pt;height:27.25pt;mso-position-horizontal-relative:page;mso-position-vertical-relative:paragraph;z-index:-251658240;mso-wrap-distance-left:0;mso-wrap-distance-right:0" type="#_x0000_t202" filled="true" fillcolor="#dbe5f1" stroked="true" strokeweight="2.25pt" strokecolor="#000000">
            <v:textbox inset="0,0,0,0">
              <w:txbxContent>
                <w:p>
                  <w:pPr>
                    <w:spacing w:before="20"/>
                    <w:ind w:left="108" w:right="0" w:firstLine="0"/>
                    <w:jc w:val="left"/>
                    <w:rPr>
                      <w:b/>
                      <w:sz w:val="40"/>
                    </w:rPr>
                  </w:pPr>
                  <w:bookmarkStart w:name="Resumen del Plan [2021-22]" w:id="2"/>
                  <w:bookmarkEnd w:id="2"/>
                  <w:r>
                    <w:rPr/>
                  </w:r>
                  <w:hyperlink r:id="rId8">
                    <w:r>
                      <w:rPr>
                        <w:b/>
                        <w:sz w:val="40"/>
                      </w:rPr>
                      <w:t>Resumen del Plan [2021-22]</w:t>
                    </w:r>
                  </w:hyperlink>
                </w:p>
              </w:txbxContent>
            </v:textbox>
            <v:fill type="solid"/>
            <v:stroke dashstyle="solid"/>
            <w10:wrap type="topAndBottom"/>
          </v:shape>
        </w:pict>
      </w:r>
    </w:p>
    <w:p>
      <w:pPr>
        <w:pStyle w:val="BodyText"/>
        <w:spacing w:before="5"/>
        <w:rPr>
          <w:b/>
          <w:sz w:val="21"/>
        </w:rPr>
      </w:pPr>
    </w:p>
    <w:p>
      <w:pPr>
        <w:spacing w:before="0"/>
        <w:ind w:left="240" w:right="0" w:firstLine="0"/>
        <w:jc w:val="left"/>
        <w:rPr>
          <w:b/>
          <w:sz w:val="36"/>
        </w:rPr>
      </w:pPr>
      <w:bookmarkStart w:name="Información General" w:id="3"/>
      <w:bookmarkEnd w:id="3"/>
      <w:r>
        <w:rPr/>
      </w:r>
      <w:hyperlink r:id="rId9">
        <w:r>
          <w:rPr>
            <w:b/>
            <w:sz w:val="36"/>
          </w:rPr>
          <w:t>Información General</w:t>
        </w:r>
      </w:hyperlink>
    </w:p>
    <w:p>
      <w:pPr>
        <w:pStyle w:val="BodyText"/>
        <w:tabs>
          <w:tab w:pos="15388" w:val="left" w:leader="none"/>
        </w:tabs>
        <w:spacing w:before="46"/>
        <w:ind w:left="240"/>
      </w:pPr>
      <w:r>
        <w:rPr>
          <w:shd w:fill="DBE5F1" w:color="auto" w:val="clear"/>
        </w:rPr>
        <w:t>Una descripción del LEA, sus escuelas y sus</w:t>
      </w:r>
      <w:r>
        <w:rPr>
          <w:spacing w:val="-25"/>
          <w:shd w:fill="DBE5F1" w:color="auto" w:val="clear"/>
        </w:rPr>
        <w:t> </w:t>
      </w:r>
      <w:r>
        <w:rPr>
          <w:shd w:fill="DBE5F1" w:color="auto" w:val="clear"/>
        </w:rPr>
        <w:t>alumnos.</w:t>
        <w:tab/>
      </w:r>
    </w:p>
    <w:p>
      <w:pPr>
        <w:pStyle w:val="BodyText"/>
        <w:spacing w:before="193"/>
        <w:ind w:left="308" w:right="347"/>
      </w:pPr>
      <w:r>
        <w:rPr/>
        <w:pict>
          <v:shape style="position:absolute;margin-left:-.5pt;margin-top:49.53788pt;width:756pt;height:293.7pt;mso-position-horizontal-relative:page;mso-position-vertical-relative:paragraph;z-index:-256697344" coordorigin="-10,991" coordsize="15120,5874" path="m370,135l370,5989m15470,135l15470,5989m360,125l15480,125m360,5999l15480,5999e" filled="false" stroked="true" strokeweight="1pt" strokecolor="#8496b0">
            <v:path arrowok="t"/>
            <v:stroke dashstyle="solid"/>
            <w10:wrap type="none"/>
          </v:shape>
        </w:pict>
      </w:r>
      <w:r>
        <w:rPr/>
        <w:t>El Distrito Escolar Primario de Winship-Robbins atiende a alumnos de Kínder de Transición (TK, por sus siglas en inglés) a 8° año, así como a niños de 3 y 4 años en nuestro preescolar durante todo el día. Robbins es una pequeña escuela rural ubicada en el centro de la Cuenca Sutter, al sur del Condado de Sutter. Conocida por su participación en la comunidad y su ambiente cálido y acogedor, la escuela Robbins se esfuerza por lograr la excelencia académica a través de altas expectativas y el estricto cumplimiento de las normas de California. Al ser una comunidad rural, la mayoría de las familias de nuestros alumnos son trabajadores agrícolas migrantes y los efectos del COVID-19 han afectado a nuestras familias de alguna manera, pero todos los efectos son indeterminados. Nuestros padres que trabajan en la industria agrícola han podido mantener sus trabajos, aunque algunos han tenido que ponerse en cuarentena debido a una posible exposición al COVID-19 y esto ha afectado a las familias económica y socioemocionalmente.</w:t>
      </w:r>
    </w:p>
    <w:p>
      <w:pPr>
        <w:pStyle w:val="BodyText"/>
      </w:pPr>
    </w:p>
    <w:p>
      <w:pPr>
        <w:pStyle w:val="BodyText"/>
        <w:ind w:left="308"/>
      </w:pPr>
      <w:r>
        <w:rPr/>
        <w:t>En Robbins, nuestra meta sigue siendo proporcionar una experiencia educativa que:</w:t>
      </w:r>
    </w:p>
    <w:p>
      <w:pPr>
        <w:pStyle w:val="BodyText"/>
        <w:ind w:left="308"/>
      </w:pPr>
      <w:r>
        <w:rPr/>
        <w:t>Promoverá y fomentará la lectoescritura para todos los alumnos.</w:t>
      </w:r>
    </w:p>
    <w:p>
      <w:pPr>
        <w:pStyle w:val="BodyText"/>
        <w:ind w:left="308" w:right="1383"/>
      </w:pPr>
      <w:r>
        <w:rPr/>
        <w:t>Promoverá una actitud responsable y segura en nuestros alumnos. Establecerá una necesidad intrínseca de aprendizaje continuo. Desarrollará un fuerte sentido del bien y el mal.</w:t>
      </w:r>
    </w:p>
    <w:p>
      <w:pPr>
        <w:pStyle w:val="BodyText"/>
        <w:ind w:left="308" w:right="7268"/>
      </w:pPr>
      <w:r>
        <w:rPr/>
        <w:t>Motivará a los alumnos a aceptar nuevos desafíos y arriesgarse a fracasar. Motivará a los alumnos a buscar la excelencia académica.</w:t>
      </w:r>
    </w:p>
    <w:p>
      <w:pPr>
        <w:pStyle w:val="BodyText"/>
        <w:ind w:left="308"/>
      </w:pPr>
      <w:r>
        <w:rPr/>
        <w:t>Enseñará a los alumnos a valorar las diferencias individuales.</w:t>
      </w:r>
    </w:p>
    <w:p>
      <w:pPr>
        <w:pStyle w:val="BodyText"/>
      </w:pPr>
    </w:p>
    <w:p>
      <w:pPr>
        <w:pStyle w:val="BodyText"/>
        <w:ind w:left="308" w:right="303"/>
      </w:pPr>
      <w:r>
        <w:rPr/>
        <w:t>Nuestro personal está aún más dedicado a brindarles a los alumnos una experiencia educativa positiva y segura que les permita alcanzar su potencial. Como no conocemos los efectos de la pandemia, es momento de reevaluar nuestro Plan Estratégico del Distrito, para asegurar que la pérdida de aprendizaje y el aprendizaje acelerado ocurran para los alumnos, la fatiga del personal y el aprendizaje se aborden en el nuevo plan estratégico.</w:t>
      </w:r>
    </w:p>
    <w:p>
      <w:pPr>
        <w:spacing w:after="0"/>
        <w:sectPr>
          <w:footerReference w:type="default" r:id="rId5"/>
          <w:type w:val="continuous"/>
          <w:pgSz w:w="15840" w:h="12240" w:orient="landscape"/>
          <w:pgMar w:footer="284" w:top="840" w:bottom="480" w:left="120" w:right="120"/>
          <w:pgNumType w:start="1"/>
        </w:sectPr>
      </w:pPr>
    </w:p>
    <w:p>
      <w:pPr>
        <w:pStyle w:val="BodyText"/>
        <w:ind w:left="240"/>
        <w:rPr>
          <w:sz w:val="20"/>
        </w:rPr>
      </w:pPr>
      <w:r>
        <w:rPr>
          <w:position w:val="0"/>
          <w:sz w:val="20"/>
        </w:rPr>
        <w:pict>
          <v:shape style="width:755pt;height:114.3pt;mso-position-horizontal-relative:char;mso-position-vertical-relative:line" type="#_x0000_t202" filled="false" stroked="true" strokeweight="1pt" strokecolor="#8496b0">
            <w10:anchorlock/>
            <v:textbox inset="0,0,0,0">
              <w:txbxContent>
                <w:p>
                  <w:pPr>
                    <w:pStyle w:val="BodyText"/>
                    <w:rPr>
                      <w:sz w:val="29"/>
                    </w:rPr>
                  </w:pPr>
                </w:p>
                <w:p>
                  <w:pPr>
                    <w:pStyle w:val="BodyText"/>
                    <w:ind w:left="48" w:right="42"/>
                  </w:pPr>
                  <w:r>
                    <w:rPr/>
                    <w:t>Nuestra población de 125 alumnos es 40% de estudiantes del idioma inglés, 82% de nuestros alumnos están en desventaja socioeconómica y 38% de nuestros alumnos son traslados entre distritos. Los miembros de nuestro personal, que afectan directamente el logro estudiantil, incluyen un superintendente/ director, seis maestros, un maestro suplente a largo plazo, dos maestros de preescolar, cinco auxiliares docentes, un experto en tecnología. Hay un equipo dedicado de miembros del personal certificados que apoyan todas las funciones del distrito escolar. El distrito autoriza a dos escuelas semi autónomas que deben crear su propio Plan de Contabilidad y Control Local (LCAP, por sus siglas en inglés).</w:t>
                  </w:r>
                </w:p>
              </w:txbxContent>
            </v:textbox>
            <v:stroke dashstyle="solid"/>
          </v:shape>
        </w:pict>
      </w:r>
      <w:r>
        <w:rPr>
          <w:position w:val="0"/>
          <w:sz w:val="20"/>
        </w:rPr>
      </w:r>
    </w:p>
    <w:p>
      <w:pPr>
        <w:pStyle w:val="BodyText"/>
        <w:rPr>
          <w:sz w:val="20"/>
        </w:rPr>
      </w:pPr>
    </w:p>
    <w:p>
      <w:pPr>
        <w:pStyle w:val="BodyText"/>
        <w:spacing w:before="3"/>
        <w:rPr>
          <w:sz w:val="18"/>
        </w:rPr>
      </w:pPr>
    </w:p>
    <w:p>
      <w:pPr>
        <w:spacing w:before="89"/>
        <w:ind w:left="240" w:right="0" w:firstLine="0"/>
        <w:jc w:val="left"/>
        <w:rPr>
          <w:b/>
          <w:sz w:val="36"/>
        </w:rPr>
      </w:pPr>
      <w:bookmarkStart w:name="Reflexiones: Éxitos" w:id="4"/>
      <w:bookmarkEnd w:id="4"/>
      <w:r>
        <w:rPr/>
      </w:r>
      <w:hyperlink r:id="rId10">
        <w:r>
          <w:rPr>
            <w:b/>
            <w:sz w:val="36"/>
          </w:rPr>
          <w:t>Reflexiones: Éxitos</w:t>
        </w:r>
      </w:hyperlink>
    </w:p>
    <w:p>
      <w:pPr>
        <w:pStyle w:val="BodyText"/>
        <w:tabs>
          <w:tab w:pos="15388" w:val="left" w:leader="none"/>
        </w:tabs>
        <w:spacing w:before="46"/>
        <w:ind w:left="240"/>
      </w:pPr>
      <w:r>
        <w:rPr/>
        <w:pict>
          <v:shape style="position:absolute;margin-left:18.5pt;margin-top:22.348866pt;width:755pt;height:183.3pt;mso-position-horizontal-relative:page;mso-position-vertical-relative:paragraph;z-index:-251655168;mso-wrap-distance-left:0;mso-wrap-distance-right:0" type="#_x0000_t202" filled="false" stroked="true" strokeweight="1pt" strokecolor="#8496b0">
            <v:textbox inset="0,0,0,0">
              <w:txbxContent>
                <w:p>
                  <w:pPr>
                    <w:pStyle w:val="BodyText"/>
                    <w:spacing w:before="58"/>
                    <w:ind w:left="48" w:right="110"/>
                  </w:pPr>
                  <w:r>
                    <w:rPr/>
                    <w:t>Basado en datos locales recopilados a través de la participación de nuestros involucrados, encuestas, evaluaciones continuas de aprendizaje académico y socioemocional, el Distrito Escolar Primario de Winship-Robbins (W-RESD, por sus siglas en inglés) ha seguido teniendo muchos éxitos. Nuestra capacidad y la manera en que nos hemos comunicado con nuestros involucrados durante la pandemia ha garantizado la seguridad y el éxito de los alumnos. La mayoría de nuestros alumnos regresaron al plantel tan pronto como pudimos proporcionar una instrucción presencial. Los alumnos se sienten seguros y continúan luchando por el éxito académico. Hemos aumentado nuestros servicios de asesoría para incluir oportunidades semanales de aprendizaje socioemocional con un asesor. Las actividades diarias de conciencia plena permiten a los maestros monitorear la salud y el bienestar de los alumnos. Los datos de la Interfaz de datos escolares de California son anteriores a la pandemia y sabemos que ha cambiado mucho desde entonces, por lo tanto, estamos informando sobre datos locales, ya que es la información más actualizada que tenemos. W-RESD mantendrá y, si es posible, se basará en nuestra capacidad para proporcionar servicios de asesoramiento y supervisar las oportunidades de aprendizaje socioemocional de los alumnos al continuar ofreciendo servicios de asesoramiento a través del Superintendente de Escuelas del Condado de Sutter (SCSOS, por sus siglas en inglés). Continuaremos analizando datos académicos y brindando apoyo académico a través de nuestro Sistema de Apoyo de Múltiples Niveles (MTSS, por sus siglas en inglés).</w:t>
                  </w:r>
                </w:p>
              </w:txbxContent>
            </v:textbox>
            <v:stroke dashstyle="solid"/>
            <w10:wrap type="topAndBottom"/>
          </v:shape>
        </w:pict>
      </w:r>
      <w:r>
        <w:rPr>
          <w:shd w:fill="DBE5F1" w:color="auto" w:val="clear"/>
        </w:rPr>
        <w:t>Una</w:t>
      </w:r>
      <w:r>
        <w:rPr>
          <w:spacing w:val="-3"/>
          <w:shd w:fill="DBE5F1" w:color="auto" w:val="clear"/>
        </w:rPr>
        <w:t> </w:t>
      </w:r>
      <w:r>
        <w:rPr>
          <w:shd w:fill="DBE5F1" w:color="auto" w:val="clear"/>
        </w:rPr>
        <w:t>descripción</w:t>
      </w:r>
      <w:r>
        <w:rPr>
          <w:spacing w:val="-3"/>
          <w:shd w:fill="DBE5F1" w:color="auto" w:val="clear"/>
        </w:rPr>
        <w:t> </w:t>
      </w:r>
      <w:r>
        <w:rPr>
          <w:shd w:fill="DBE5F1" w:color="auto" w:val="clear"/>
        </w:rPr>
        <w:t>de</w:t>
      </w:r>
      <w:r>
        <w:rPr>
          <w:spacing w:val="-2"/>
          <w:shd w:fill="DBE5F1" w:color="auto" w:val="clear"/>
        </w:rPr>
        <w:t> </w:t>
      </w:r>
      <w:r>
        <w:rPr>
          <w:shd w:fill="DBE5F1" w:color="auto" w:val="clear"/>
        </w:rPr>
        <w:t>éxitos</w:t>
      </w:r>
      <w:r>
        <w:rPr>
          <w:spacing w:val="-3"/>
          <w:shd w:fill="DBE5F1" w:color="auto" w:val="clear"/>
        </w:rPr>
        <w:t> </w:t>
      </w:r>
      <w:r>
        <w:rPr>
          <w:shd w:fill="DBE5F1" w:color="auto" w:val="clear"/>
        </w:rPr>
        <w:t>y/o</w:t>
      </w:r>
      <w:r>
        <w:rPr>
          <w:spacing w:val="-2"/>
          <w:shd w:fill="DBE5F1" w:color="auto" w:val="clear"/>
        </w:rPr>
        <w:t> </w:t>
      </w:r>
      <w:r>
        <w:rPr>
          <w:shd w:fill="DBE5F1" w:color="auto" w:val="clear"/>
        </w:rPr>
        <w:t>progreso</w:t>
      </w:r>
      <w:r>
        <w:rPr>
          <w:spacing w:val="-4"/>
          <w:shd w:fill="DBE5F1" w:color="auto" w:val="clear"/>
        </w:rPr>
        <w:t> </w:t>
      </w:r>
      <w:r>
        <w:rPr>
          <w:shd w:fill="DBE5F1" w:color="auto" w:val="clear"/>
        </w:rPr>
        <w:t>basado</w:t>
      </w:r>
      <w:r>
        <w:rPr>
          <w:spacing w:val="-4"/>
          <w:shd w:fill="DBE5F1" w:color="auto" w:val="clear"/>
        </w:rPr>
        <w:t> </w:t>
      </w:r>
      <w:r>
        <w:rPr>
          <w:shd w:fill="DBE5F1" w:color="auto" w:val="clear"/>
        </w:rPr>
        <w:t>en</w:t>
      </w:r>
      <w:r>
        <w:rPr>
          <w:spacing w:val="-2"/>
          <w:shd w:fill="DBE5F1" w:color="auto" w:val="clear"/>
        </w:rPr>
        <w:t> </w:t>
      </w:r>
      <w:r>
        <w:rPr>
          <w:shd w:fill="DBE5F1" w:color="auto" w:val="clear"/>
        </w:rPr>
        <w:t>un</w:t>
      </w:r>
      <w:r>
        <w:rPr>
          <w:spacing w:val="-3"/>
          <w:shd w:fill="DBE5F1" w:color="auto" w:val="clear"/>
        </w:rPr>
        <w:t> </w:t>
      </w:r>
      <w:r>
        <w:rPr>
          <w:shd w:fill="DBE5F1" w:color="auto" w:val="clear"/>
        </w:rPr>
        <w:t>repaso</w:t>
      </w:r>
      <w:r>
        <w:rPr>
          <w:spacing w:val="-2"/>
          <w:shd w:fill="DBE5F1" w:color="auto" w:val="clear"/>
        </w:rPr>
        <w:t> </w:t>
      </w:r>
      <w:r>
        <w:rPr>
          <w:shd w:fill="DBE5F1" w:color="auto" w:val="clear"/>
        </w:rPr>
        <w:t>de</w:t>
      </w:r>
      <w:r>
        <w:rPr>
          <w:spacing w:val="-3"/>
          <w:shd w:fill="DBE5F1" w:color="auto" w:val="clear"/>
        </w:rPr>
        <w:t> </w:t>
      </w:r>
      <w:r>
        <w:rPr>
          <w:shd w:fill="DBE5F1" w:color="auto" w:val="clear"/>
        </w:rPr>
        <w:t>la</w:t>
      </w:r>
      <w:r>
        <w:rPr>
          <w:spacing w:val="-2"/>
          <w:shd w:fill="DBE5F1" w:color="auto" w:val="clear"/>
        </w:rPr>
        <w:t> </w:t>
      </w:r>
      <w:r>
        <w:rPr>
          <w:shd w:fill="DBE5F1" w:color="auto" w:val="clear"/>
        </w:rPr>
        <w:t>Interfaz</w:t>
      </w:r>
      <w:r>
        <w:rPr>
          <w:spacing w:val="-4"/>
          <w:shd w:fill="DBE5F1" w:color="auto" w:val="clear"/>
        </w:rPr>
        <w:t> </w:t>
      </w:r>
      <w:r>
        <w:rPr>
          <w:shd w:fill="DBE5F1" w:color="auto" w:val="clear"/>
        </w:rPr>
        <w:t>(</w:t>
      </w:r>
      <w:r>
        <w:rPr>
          <w:i/>
          <w:shd w:fill="DBE5F1" w:color="auto" w:val="clear"/>
        </w:rPr>
        <w:t>Dashboard</w:t>
      </w:r>
      <w:r>
        <w:rPr>
          <w:shd w:fill="DBE5F1" w:color="auto" w:val="clear"/>
        </w:rPr>
        <w:t>)</w:t>
      </w:r>
      <w:r>
        <w:rPr>
          <w:spacing w:val="-3"/>
          <w:shd w:fill="DBE5F1" w:color="auto" w:val="clear"/>
        </w:rPr>
        <w:t> </w:t>
      </w:r>
      <w:r>
        <w:rPr>
          <w:shd w:fill="DBE5F1" w:color="auto" w:val="clear"/>
        </w:rPr>
        <w:t>Escolar</w:t>
      </w:r>
      <w:r>
        <w:rPr>
          <w:spacing w:val="-2"/>
          <w:shd w:fill="DBE5F1" w:color="auto" w:val="clear"/>
        </w:rPr>
        <w:t> </w:t>
      </w:r>
      <w:r>
        <w:rPr>
          <w:shd w:fill="DBE5F1" w:color="auto" w:val="clear"/>
        </w:rPr>
        <w:t>de</w:t>
      </w:r>
      <w:r>
        <w:rPr>
          <w:spacing w:val="-3"/>
          <w:shd w:fill="DBE5F1" w:color="auto" w:val="clear"/>
        </w:rPr>
        <w:t> </w:t>
      </w:r>
      <w:r>
        <w:rPr>
          <w:shd w:fill="DBE5F1" w:color="auto" w:val="clear"/>
        </w:rPr>
        <w:t>California</w:t>
      </w:r>
      <w:r>
        <w:rPr>
          <w:spacing w:val="-3"/>
          <w:shd w:fill="DBE5F1" w:color="auto" w:val="clear"/>
        </w:rPr>
        <w:t> </w:t>
      </w:r>
      <w:r>
        <w:rPr>
          <w:shd w:fill="DBE5F1" w:color="auto" w:val="clear"/>
        </w:rPr>
        <w:t>y</w:t>
      </w:r>
      <w:r>
        <w:rPr>
          <w:spacing w:val="-3"/>
          <w:shd w:fill="DBE5F1" w:color="auto" w:val="clear"/>
        </w:rPr>
        <w:t> </w:t>
      </w:r>
      <w:r>
        <w:rPr>
          <w:shd w:fill="DBE5F1" w:color="auto" w:val="clear"/>
        </w:rPr>
        <w:t>datos</w:t>
      </w:r>
      <w:r>
        <w:rPr>
          <w:spacing w:val="-2"/>
          <w:shd w:fill="DBE5F1" w:color="auto" w:val="clear"/>
        </w:rPr>
        <w:t> </w:t>
      </w:r>
      <w:r>
        <w:rPr>
          <w:shd w:fill="DBE5F1" w:color="auto" w:val="clear"/>
        </w:rPr>
        <w:t>locales.</w:t>
        <w:tab/>
      </w:r>
    </w:p>
    <w:p>
      <w:pPr>
        <w:pStyle w:val="Heading2"/>
        <w:spacing w:before="155" w:after="46"/>
      </w:pPr>
      <w:bookmarkStart w:name="Reflexiones: Necesidad Identificada" w:id="5"/>
      <w:bookmarkEnd w:id="5"/>
      <w:r>
        <w:rPr>
          <w:b w:val="0"/>
        </w:rPr>
      </w:r>
      <w:hyperlink r:id="rId11">
        <w:r>
          <w:rPr/>
          <w:t>Reflexiones: Necesidad Identificada</w:t>
        </w:r>
      </w:hyperlink>
    </w:p>
    <w:p>
      <w:pPr>
        <w:pStyle w:val="BodyText"/>
        <w:ind w:left="211"/>
        <w:rPr>
          <w:sz w:val="20"/>
        </w:rPr>
      </w:pPr>
      <w:r>
        <w:rPr/>
        <w:pict>
          <v:shape style="position:absolute;margin-left:18.5pt;margin-top:47.647003pt;width:755pt;height:86.7pt;mso-position-horizontal-relative:page;mso-position-vertical-relative:paragraph;z-index:-251653120;mso-wrap-distance-left:0;mso-wrap-distance-right:0" type="#_x0000_t202" filled="false" stroked="true" strokeweight="1pt" strokecolor="#8496b0">
            <v:textbox inset="0,0,0,0">
              <w:txbxContent>
                <w:p>
                  <w:pPr>
                    <w:pStyle w:val="BodyText"/>
                    <w:spacing w:before="58"/>
                    <w:ind w:left="48" w:right="95"/>
                  </w:pPr>
                  <w:r>
                    <w:rPr/>
                    <w:t>Basado en datos locales recopilados a través de la participación de nuestros involucrados, encuestas, evaluaciones continuas de aprendizaje académico y socioemocional, el Distrito Escolar Primario de Winship-Robbins (W-RESD, por sus siglas en inglés) reconoce que se ha producido una pérdida de aprendizaje debido a que el rendimiento de los alumnos en las pruebas de medidas de progreso académico (MAP, por sus siglas en inglés) de "Northwest Evaluation Association" (la Asociación de Evaluación del Noroeste [NWEA, por sus siglas en inglés]) es más bajo de lo que proyectamos en base a sus evaluaciones anteriores. Hemos implementado un programa de intervención intensivo con supervisación continua. Los alumnos tendrán la oportunidad de participar en un programa de verano estructurado para</w:t>
                  </w:r>
                </w:p>
              </w:txbxContent>
            </v:textbox>
            <v:stroke dashstyle="solid"/>
            <w10:wrap type="topAndBottom"/>
          </v:shape>
        </w:pict>
      </w:r>
      <w:r>
        <w:rPr>
          <w:sz w:val="20"/>
        </w:rPr>
        <w:pict>
          <v:shape style="width:758.9pt;height:41.4pt;mso-position-horizontal-relative:char;mso-position-vertical-relative:line" type="#_x0000_t202" filled="true" fillcolor="#dbe5f1" stroked="false">
            <w10:anchorlock/>
            <v:textbox inset="0,0,0,0">
              <w:txbxContent>
                <w:p>
                  <w:pPr>
                    <w:pStyle w:val="BodyText"/>
                    <w:ind w:left="29" w:right="626"/>
                  </w:pPr>
                  <w:r>
                    <w:rPr/>
                    <w:t>Una descripción de cualquier área que necesita mejora significativa basado en un repaso de la Interfaz (</w:t>
                  </w:r>
                  <w:r>
                    <w:rPr>
                      <w:i/>
                    </w:rPr>
                    <w:t>Dashboard</w:t>
                  </w:r>
                  <w:r>
                    <w:rPr/>
                    <w:t>) y datos locales, incluyendo cualquier área de bajo desempeño y significativas brechas de desempeño entre grupos estudiantiles en los indicadores de la Interfaz (</w:t>
                  </w:r>
                  <w:r>
                    <w:rPr>
                      <w:i/>
                    </w:rPr>
                    <w:t>Dashboard</w:t>
                  </w:r>
                  <w:r>
                    <w:rPr/>
                    <w:t>) y cualquier paso tomado para abordar aquellas áreas.</w:t>
                  </w:r>
                </w:p>
              </w:txbxContent>
            </v:textbox>
            <v:fill type="solid"/>
          </v:shape>
        </w:pict>
      </w:r>
      <w:r>
        <w:rPr>
          <w:sz w:val="20"/>
        </w:rPr>
      </w:r>
    </w:p>
    <w:p>
      <w:pPr>
        <w:spacing w:after="0"/>
        <w:rPr>
          <w:sz w:val="20"/>
        </w:rPr>
        <w:sectPr>
          <w:pgSz w:w="15840" w:h="12240" w:orient="landscape"/>
          <w:pgMar w:header="0" w:footer="284" w:top="640" w:bottom="560" w:left="120" w:right="120"/>
        </w:sectPr>
      </w:pPr>
    </w:p>
    <w:p>
      <w:pPr>
        <w:pStyle w:val="BodyText"/>
        <w:ind w:left="240"/>
        <w:rPr>
          <w:sz w:val="20"/>
        </w:rPr>
      </w:pPr>
      <w:r>
        <w:rPr>
          <w:position w:val="0"/>
          <w:sz w:val="20"/>
        </w:rPr>
        <w:pict>
          <v:shape style="width:755pt;height:45.3pt;mso-position-horizontal-relative:char;mso-position-vertical-relative:line" type="#_x0000_t202" filled="false" stroked="true" strokeweight="1pt" strokecolor="#8496b0">
            <w10:anchorlock/>
            <v:textbox inset="0,0,0,0">
              <w:txbxContent>
                <w:p>
                  <w:pPr>
                    <w:pStyle w:val="BodyText"/>
                    <w:spacing w:before="58"/>
                    <w:ind w:left="48" w:right="617"/>
                  </w:pPr>
                  <w:r>
                    <w:rPr/>
                    <w:t>abordar la pérdida de aprendizaje en artes lingüísticas en inglés (ELA, por sus siglas en inglés) y matemáticas.Planificamos aumentar nuestro servicios de intervención de Nivel III proporcionados por un líder auxiliar capacitado en intervenciones de Nivel III. Los alumnos recibirán apoyo de educación dentro y fuera del salón general, así como instrucción adicional extracurricular.</w:t>
                  </w:r>
                </w:p>
              </w:txbxContent>
            </v:textbox>
            <v:stroke dashstyle="solid"/>
          </v:shape>
        </w:pict>
      </w:r>
      <w:r>
        <w:rPr>
          <w:position w:val="0"/>
          <w:sz w:val="20"/>
        </w:rPr>
      </w:r>
    </w:p>
    <w:p>
      <w:pPr>
        <w:pStyle w:val="BodyText"/>
        <w:rPr>
          <w:b/>
          <w:sz w:val="20"/>
        </w:rPr>
      </w:pPr>
    </w:p>
    <w:p>
      <w:pPr>
        <w:spacing w:before="207"/>
        <w:ind w:left="240" w:right="0" w:firstLine="0"/>
        <w:jc w:val="left"/>
        <w:rPr>
          <w:b/>
          <w:sz w:val="36"/>
        </w:rPr>
      </w:pPr>
      <w:bookmarkStart w:name="Los Puntos Más Destacados del LCAP" w:id="6"/>
      <w:bookmarkEnd w:id="6"/>
      <w:r>
        <w:rPr/>
      </w:r>
      <w:hyperlink r:id="rId12">
        <w:r>
          <w:rPr>
            <w:b/>
            <w:sz w:val="36"/>
          </w:rPr>
          <w:t>Los Puntos Más Destacados del LCAP</w:t>
        </w:r>
      </w:hyperlink>
    </w:p>
    <w:p>
      <w:pPr>
        <w:pStyle w:val="BodyText"/>
        <w:tabs>
          <w:tab w:pos="15388" w:val="left" w:leader="none"/>
        </w:tabs>
        <w:spacing w:before="46"/>
        <w:ind w:left="240"/>
      </w:pPr>
      <w:r>
        <w:rPr>
          <w:shd w:fill="DBE5F1" w:color="auto" w:val="clear"/>
        </w:rPr>
        <w:t>Un breve panorama del LCAP, incluyendo cualquier punto clave que debe</w:t>
      </w:r>
      <w:r>
        <w:rPr>
          <w:spacing w:val="-43"/>
          <w:shd w:fill="DBE5F1" w:color="auto" w:val="clear"/>
        </w:rPr>
        <w:t> </w:t>
      </w:r>
      <w:r>
        <w:rPr>
          <w:shd w:fill="DBE5F1" w:color="auto" w:val="clear"/>
        </w:rPr>
        <w:t>enfatizarse.</w:t>
        <w:tab/>
      </w:r>
    </w:p>
    <w:p>
      <w:pPr>
        <w:pStyle w:val="BodyText"/>
        <w:spacing w:before="193"/>
        <w:ind w:left="308" w:right="303"/>
      </w:pPr>
      <w:r>
        <w:rPr/>
        <w:pict>
          <v:shape style="position:absolute;margin-left:-.5pt;margin-top:179.929871pt;width:756pt;height:293.7pt;mso-position-horizontal-relative:page;mso-position-vertical-relative:paragraph;z-index:-256690176" coordorigin="-10,3599" coordsize="15120,5874" path="m370,135l370,5989m15470,135l15470,5989m360,125l15480,125m360,5999l15480,5999e" filled="false" stroked="true" strokeweight="1pt" strokecolor="#8496b0">
            <v:path arrowok="t"/>
            <v:stroke dashstyle="solid"/>
            <w10:wrap type="none"/>
          </v:shape>
        </w:pict>
      </w:r>
      <w:r>
        <w:rPr/>
        <w:t>El Distrito Escolar Primario de Winship-Robbins (W-RESD, por sus siglas en inglés) cree que la pandemia ha impactado a los alumnos tanto académica como socioemocionalmente. A través de las metas, medidas y servicios en nuestro Plan de Contabilidad y Control Local (LCAP, por sus siglas en inglés) de 2021-2024, estamos enfocados en desarrollar e implementar programas y servicios para todos nuestros alumnos, especialmente para nuestros alumnos sin duplicar, para reparar cualquier pérdida de aprendizaje que haya ocurrido debido a la pandemia. Hemos contratado personal adicional para brindar intervenciones y una buena primera instrucción a los alumnos mientras se mantiene el tamaño reducido de los salones de clases. La incorporación del Director de Currículo e Instrucción asegurará que el personal de instrucción reciba una capacitación profesional continua que se enfoca en la pérdida de aprendizaje y en acelerar el aprendizaje. El Director de Currículo e Instrucción trabajará con los estudiantes del inglés y el personal docente en las habilidades del programa Desarrollo del Idioma Inglés a través de servicios de educación dentro y fuera del salón general, y capacitación profesional. El monitoreo del progreso permitirá al personal de instrucción supervisar el éxito académico de los alumnos y determinar las intervenciones adecuadas que los alumnos necesitan. La compra de un currículo de ciencias para todos los años asegurará que nuestros alumnos reciban un currículo alineado con las normas. La incorporación de un currículo de arte brinda a los alumnos la oportunidad de aprender sobre el arte y los grandes maestros a lo largo de la historia.</w:t>
      </w:r>
    </w:p>
    <w:p>
      <w:pPr>
        <w:pStyle w:val="BodyText"/>
        <w:spacing w:before="11"/>
        <w:rPr>
          <w:sz w:val="23"/>
        </w:rPr>
      </w:pPr>
    </w:p>
    <w:p>
      <w:pPr>
        <w:pStyle w:val="BodyText"/>
        <w:ind w:left="308" w:right="463"/>
      </w:pPr>
      <w:r>
        <w:rPr/>
        <w:t>Los servicios adicionales de asesoría ayudarán a supervisar las necesidades socioemocionales de nuestros alumnos y brindarán lecciones semanales sobre el aprendizaje socioemocional. Continuar proporcionando y ampliando el transporte a los alumnos asegura que asistan a la escuela con regularidad y, con suerte, reducirá la tasa de ausentismo crónico que afecta a muchas escuelas rurales. Continuamos manteniendo las instalaciones escolares y brindando un ambiente seguro y acogedor para nuestros alumnos y familias. Continuaremos trabajando en el alcance comunitario a través de eventos como la Noche de Matemáticas, Noche de Ciencias, Leer a través de América, Noche de Regreso a Clases, Visita escolar y asambleas.</w:t>
      </w:r>
    </w:p>
    <w:p>
      <w:pPr>
        <w:pStyle w:val="BodyText"/>
        <w:rPr>
          <w:sz w:val="20"/>
        </w:rPr>
      </w:pPr>
    </w:p>
    <w:p>
      <w:pPr>
        <w:pStyle w:val="Heading2"/>
        <w:spacing w:before="250"/>
      </w:pPr>
      <w:bookmarkStart w:name="Apoyo y Mejoramiento Integral" w:id="7"/>
      <w:bookmarkEnd w:id="7"/>
      <w:r>
        <w:rPr>
          <w:b w:val="0"/>
        </w:rPr>
      </w:r>
      <w:hyperlink r:id="rId13">
        <w:r>
          <w:rPr/>
          <w:t>Apoyo y Mejoramiento Integral</w:t>
        </w:r>
      </w:hyperlink>
    </w:p>
    <w:p>
      <w:pPr>
        <w:pStyle w:val="BodyText"/>
        <w:spacing w:before="115"/>
        <w:ind w:left="240"/>
      </w:pPr>
      <w:r>
        <w:rPr/>
        <w:t>Un LEA con una escuela o escuelas eligible(s) para apoyo y mejoramiento integral debe responder a los siguientes temas.</w:t>
      </w:r>
    </w:p>
    <w:p>
      <w:pPr>
        <w:spacing w:before="115"/>
        <w:ind w:left="240" w:right="0" w:firstLine="0"/>
        <w:jc w:val="left"/>
        <w:rPr>
          <w:b/>
          <w:sz w:val="24"/>
        </w:rPr>
      </w:pPr>
      <w:bookmarkStart w:name="Escuelas Identificadas" w:id="8"/>
      <w:bookmarkEnd w:id="8"/>
      <w:r>
        <w:rPr/>
      </w:r>
      <w:hyperlink r:id="rId14">
        <w:r>
          <w:rPr>
            <w:b/>
            <w:sz w:val="24"/>
          </w:rPr>
          <w:t>Escuelas Identificadas</w:t>
        </w:r>
      </w:hyperlink>
    </w:p>
    <w:p>
      <w:pPr>
        <w:pStyle w:val="BodyText"/>
        <w:tabs>
          <w:tab w:pos="15388" w:val="left" w:leader="none"/>
        </w:tabs>
        <w:spacing w:before="46"/>
        <w:ind w:left="240"/>
      </w:pPr>
      <w:r>
        <w:rPr/>
        <w:pict>
          <v:shape style="position:absolute;margin-left:18.5pt;margin-top:22.348858pt;width:755pt;height:21.9pt;mso-position-horizontal-relative:page;mso-position-vertical-relative:paragraph;z-index:-251651072;mso-wrap-distance-left:0;mso-wrap-distance-right:0" type="#_x0000_t202" filled="false" stroked="true" strokeweight="1pt" strokecolor="#8496b0">
            <v:textbox inset="0,0,0,0">
              <w:txbxContent>
                <w:p>
                  <w:pPr>
                    <w:pStyle w:val="BodyText"/>
                    <w:spacing w:before="58"/>
                    <w:ind w:left="48"/>
                  </w:pPr>
                  <w:r>
                    <w:rPr/>
                    <w:t>No se identifica ninguna escuela para el Apoyo y Mejora Integral (CSI, por sus siglas en inglés).</w:t>
                  </w:r>
                </w:p>
              </w:txbxContent>
            </v:textbox>
            <v:stroke dashstyle="solid"/>
            <w10:wrap type="topAndBottom"/>
          </v:shape>
        </w:pict>
      </w:r>
      <w:r>
        <w:rPr>
          <w:shd w:fill="DBE5F1" w:color="auto" w:val="clear"/>
        </w:rPr>
        <w:t>Una lista de escuelas en el LEA que son elegibles para apoyo y mejora</w:t>
      </w:r>
      <w:r>
        <w:rPr>
          <w:spacing w:val="-40"/>
          <w:shd w:fill="DBE5F1" w:color="auto" w:val="clear"/>
        </w:rPr>
        <w:t> </w:t>
      </w:r>
      <w:r>
        <w:rPr>
          <w:shd w:fill="DBE5F1" w:color="auto" w:val="clear"/>
        </w:rPr>
        <w:t>integral.</w:t>
        <w:tab/>
      </w:r>
    </w:p>
    <w:p>
      <w:pPr>
        <w:spacing w:after="0"/>
        <w:sectPr>
          <w:pgSz w:w="15840" w:h="12240" w:orient="landscape"/>
          <w:pgMar w:header="0" w:footer="284" w:top="640" w:bottom="560" w:left="120" w:right="120"/>
        </w:sectPr>
      </w:pPr>
    </w:p>
    <w:p>
      <w:pPr>
        <w:spacing w:before="76"/>
        <w:ind w:left="240" w:right="0" w:firstLine="0"/>
        <w:jc w:val="left"/>
        <w:rPr>
          <w:b/>
          <w:sz w:val="24"/>
        </w:rPr>
      </w:pPr>
      <w:bookmarkStart w:name="Apoyo para Escuelas Identificadas" w:id="9"/>
      <w:bookmarkEnd w:id="9"/>
      <w:r>
        <w:rPr/>
      </w:r>
      <w:hyperlink r:id="rId15">
        <w:r>
          <w:rPr>
            <w:b/>
            <w:sz w:val="24"/>
          </w:rPr>
          <w:t>Apoyo para Escuelas Identificadas</w:t>
        </w:r>
      </w:hyperlink>
    </w:p>
    <w:p>
      <w:pPr>
        <w:pStyle w:val="BodyText"/>
        <w:tabs>
          <w:tab w:pos="15388" w:val="left" w:leader="none"/>
        </w:tabs>
        <w:spacing w:before="46"/>
        <w:ind w:left="240"/>
      </w:pPr>
      <w:r>
        <w:rPr/>
        <w:pict>
          <v:shape style="position:absolute;margin-left:18.5pt;margin-top:22.348866pt;width:755pt;height:21.9pt;mso-position-horizontal-relative:page;mso-position-vertical-relative:paragraph;z-index:-251649024;mso-wrap-distance-left:0;mso-wrap-distance-right:0" type="#_x0000_t202" filled="false" stroked="true" strokeweight="1pt" strokecolor="#8496b0">
            <v:textbox inset="0,0,0,0">
              <w:txbxContent>
                <w:p>
                  <w:pPr>
                    <w:pStyle w:val="BodyText"/>
                    <w:spacing w:before="58"/>
                    <w:ind w:left="48"/>
                  </w:pPr>
                  <w:r>
                    <w:rPr/>
                    <w:t>No se identifica ninguna escuela para el Apoyo y Mejora Integral (CSI, por sus siglas en inglés).</w:t>
                  </w:r>
                </w:p>
              </w:txbxContent>
            </v:textbox>
            <v:stroke dashstyle="solid"/>
            <w10:wrap type="topAndBottom"/>
          </v:shape>
        </w:pict>
      </w:r>
      <w:r>
        <w:rPr>
          <w:shd w:fill="DBE5F1" w:color="auto" w:val="clear"/>
        </w:rPr>
        <w:t>Una</w:t>
      </w:r>
      <w:r>
        <w:rPr>
          <w:spacing w:val="-3"/>
          <w:shd w:fill="DBE5F1" w:color="auto" w:val="clear"/>
        </w:rPr>
        <w:t> </w:t>
      </w:r>
      <w:r>
        <w:rPr>
          <w:shd w:fill="DBE5F1" w:color="auto" w:val="clear"/>
        </w:rPr>
        <w:t>descripción</w:t>
      </w:r>
      <w:r>
        <w:rPr>
          <w:spacing w:val="-4"/>
          <w:shd w:fill="DBE5F1" w:color="auto" w:val="clear"/>
        </w:rPr>
        <w:t> </w:t>
      </w:r>
      <w:r>
        <w:rPr>
          <w:shd w:fill="DBE5F1" w:color="auto" w:val="clear"/>
        </w:rPr>
        <w:t>sobre</w:t>
      </w:r>
      <w:r>
        <w:rPr>
          <w:spacing w:val="-3"/>
          <w:shd w:fill="DBE5F1" w:color="auto" w:val="clear"/>
        </w:rPr>
        <w:t> </w:t>
      </w:r>
      <w:r>
        <w:rPr>
          <w:shd w:fill="DBE5F1" w:color="auto" w:val="clear"/>
        </w:rPr>
        <w:t>como</w:t>
      </w:r>
      <w:r>
        <w:rPr>
          <w:spacing w:val="-3"/>
          <w:shd w:fill="DBE5F1" w:color="auto" w:val="clear"/>
        </w:rPr>
        <w:t> </w:t>
      </w:r>
      <w:r>
        <w:rPr>
          <w:shd w:fill="DBE5F1" w:color="auto" w:val="clear"/>
        </w:rPr>
        <w:t>el</w:t>
      </w:r>
      <w:r>
        <w:rPr>
          <w:spacing w:val="-3"/>
          <w:shd w:fill="DBE5F1" w:color="auto" w:val="clear"/>
        </w:rPr>
        <w:t> </w:t>
      </w:r>
      <w:r>
        <w:rPr>
          <w:shd w:fill="DBE5F1" w:color="auto" w:val="clear"/>
        </w:rPr>
        <w:t>LEA</w:t>
      </w:r>
      <w:r>
        <w:rPr>
          <w:spacing w:val="-3"/>
          <w:shd w:fill="DBE5F1" w:color="auto" w:val="clear"/>
        </w:rPr>
        <w:t> </w:t>
      </w:r>
      <w:r>
        <w:rPr>
          <w:shd w:fill="DBE5F1" w:color="auto" w:val="clear"/>
        </w:rPr>
        <w:t>ha</w:t>
      </w:r>
      <w:r>
        <w:rPr>
          <w:spacing w:val="-3"/>
          <w:shd w:fill="DBE5F1" w:color="auto" w:val="clear"/>
        </w:rPr>
        <w:t> </w:t>
      </w:r>
      <w:r>
        <w:rPr>
          <w:shd w:fill="DBE5F1" w:color="auto" w:val="clear"/>
        </w:rPr>
        <w:t>apoyado</w:t>
      </w:r>
      <w:r>
        <w:rPr>
          <w:spacing w:val="-4"/>
          <w:shd w:fill="DBE5F1" w:color="auto" w:val="clear"/>
        </w:rPr>
        <w:t> </w:t>
      </w:r>
      <w:r>
        <w:rPr>
          <w:shd w:fill="DBE5F1" w:color="auto" w:val="clear"/>
        </w:rPr>
        <w:t>o</w:t>
      </w:r>
      <w:r>
        <w:rPr>
          <w:spacing w:val="-3"/>
          <w:shd w:fill="DBE5F1" w:color="auto" w:val="clear"/>
        </w:rPr>
        <w:t> </w:t>
      </w:r>
      <w:r>
        <w:rPr>
          <w:shd w:fill="DBE5F1" w:color="auto" w:val="clear"/>
        </w:rPr>
        <w:t>apoyará</w:t>
      </w:r>
      <w:r>
        <w:rPr>
          <w:spacing w:val="-3"/>
          <w:shd w:fill="DBE5F1" w:color="auto" w:val="clear"/>
        </w:rPr>
        <w:t> </w:t>
      </w:r>
      <w:r>
        <w:rPr>
          <w:shd w:fill="DBE5F1" w:color="auto" w:val="clear"/>
        </w:rPr>
        <w:t>sus</w:t>
      </w:r>
      <w:r>
        <w:rPr>
          <w:spacing w:val="-3"/>
          <w:shd w:fill="DBE5F1" w:color="auto" w:val="clear"/>
        </w:rPr>
        <w:t> </w:t>
      </w:r>
      <w:r>
        <w:rPr>
          <w:shd w:fill="DBE5F1" w:color="auto" w:val="clear"/>
        </w:rPr>
        <w:t>escuelas</w:t>
      </w:r>
      <w:r>
        <w:rPr>
          <w:spacing w:val="-4"/>
          <w:shd w:fill="DBE5F1" w:color="auto" w:val="clear"/>
        </w:rPr>
        <w:t> </w:t>
      </w:r>
      <w:r>
        <w:rPr>
          <w:shd w:fill="DBE5F1" w:color="auto" w:val="clear"/>
        </w:rPr>
        <w:t>eligibles</w:t>
      </w:r>
      <w:r>
        <w:rPr>
          <w:spacing w:val="-3"/>
          <w:shd w:fill="DBE5F1" w:color="auto" w:val="clear"/>
        </w:rPr>
        <w:t> </w:t>
      </w:r>
      <w:r>
        <w:rPr>
          <w:shd w:fill="DBE5F1" w:color="auto" w:val="clear"/>
        </w:rPr>
        <w:t>en</w:t>
      </w:r>
      <w:r>
        <w:rPr>
          <w:spacing w:val="-3"/>
          <w:shd w:fill="DBE5F1" w:color="auto" w:val="clear"/>
        </w:rPr>
        <w:t> </w:t>
      </w:r>
      <w:r>
        <w:rPr>
          <w:shd w:fill="DBE5F1" w:color="auto" w:val="clear"/>
        </w:rPr>
        <w:t>desarrollar</w:t>
      </w:r>
      <w:r>
        <w:rPr>
          <w:spacing w:val="-3"/>
          <w:shd w:fill="DBE5F1" w:color="auto" w:val="clear"/>
        </w:rPr>
        <w:t> </w:t>
      </w:r>
      <w:r>
        <w:rPr>
          <w:shd w:fill="DBE5F1" w:color="auto" w:val="clear"/>
        </w:rPr>
        <w:t>planes</w:t>
      </w:r>
      <w:r>
        <w:rPr>
          <w:spacing w:val="-3"/>
          <w:shd w:fill="DBE5F1" w:color="auto" w:val="clear"/>
        </w:rPr>
        <w:t> </w:t>
      </w:r>
      <w:r>
        <w:rPr>
          <w:shd w:fill="DBE5F1" w:color="auto" w:val="clear"/>
        </w:rPr>
        <w:t>de</w:t>
      </w:r>
      <w:r>
        <w:rPr>
          <w:spacing w:val="-4"/>
          <w:shd w:fill="DBE5F1" w:color="auto" w:val="clear"/>
        </w:rPr>
        <w:t> </w:t>
      </w:r>
      <w:r>
        <w:rPr>
          <w:shd w:fill="DBE5F1" w:color="auto" w:val="clear"/>
        </w:rPr>
        <w:t>apoyo</w:t>
      </w:r>
      <w:r>
        <w:rPr>
          <w:spacing w:val="-3"/>
          <w:shd w:fill="DBE5F1" w:color="auto" w:val="clear"/>
        </w:rPr>
        <w:t> </w:t>
      </w:r>
      <w:r>
        <w:rPr>
          <w:shd w:fill="DBE5F1" w:color="auto" w:val="clear"/>
        </w:rPr>
        <w:t>y</w:t>
      </w:r>
      <w:r>
        <w:rPr>
          <w:spacing w:val="-3"/>
          <w:shd w:fill="DBE5F1" w:color="auto" w:val="clear"/>
        </w:rPr>
        <w:t> </w:t>
      </w:r>
      <w:r>
        <w:rPr>
          <w:shd w:fill="DBE5F1" w:color="auto" w:val="clear"/>
        </w:rPr>
        <w:t>mejoramiento</w:t>
      </w:r>
      <w:r>
        <w:rPr>
          <w:spacing w:val="-3"/>
          <w:shd w:fill="DBE5F1" w:color="auto" w:val="clear"/>
        </w:rPr>
        <w:t> </w:t>
      </w:r>
      <w:r>
        <w:rPr>
          <w:shd w:fill="DBE5F1" w:color="auto" w:val="clear"/>
        </w:rPr>
        <w:t>integral.</w:t>
        <w:tab/>
      </w:r>
    </w:p>
    <w:p>
      <w:pPr>
        <w:spacing w:before="155"/>
        <w:ind w:left="240" w:right="0" w:firstLine="0"/>
        <w:jc w:val="left"/>
        <w:rPr>
          <w:b/>
          <w:sz w:val="24"/>
        </w:rPr>
      </w:pPr>
      <w:bookmarkStart w:name="Supervisando y Evaluando Efectividad" w:id="10"/>
      <w:bookmarkEnd w:id="10"/>
      <w:r>
        <w:rPr/>
      </w:r>
      <w:hyperlink r:id="rId16">
        <w:r>
          <w:rPr>
            <w:b/>
            <w:sz w:val="24"/>
          </w:rPr>
          <w:t>Supervisando y Evaluando Efectividad</w:t>
        </w:r>
      </w:hyperlink>
    </w:p>
    <w:p>
      <w:pPr>
        <w:pStyle w:val="BodyText"/>
        <w:tabs>
          <w:tab w:pos="15388" w:val="left" w:leader="none"/>
        </w:tabs>
        <w:spacing w:before="46"/>
        <w:ind w:left="240"/>
      </w:pPr>
      <w:r>
        <w:rPr/>
        <w:pict>
          <v:shape style="position:absolute;margin-left:18.5pt;margin-top:22.348854pt;width:755pt;height:21.9pt;mso-position-horizontal-relative:page;mso-position-vertical-relative:paragraph;z-index:-251648000;mso-wrap-distance-left:0;mso-wrap-distance-right:0" type="#_x0000_t202" filled="false" stroked="true" strokeweight="1pt" strokecolor="#8496b0">
            <v:textbox inset="0,0,0,0">
              <w:txbxContent>
                <w:p>
                  <w:pPr>
                    <w:pStyle w:val="BodyText"/>
                    <w:spacing w:before="58"/>
                    <w:ind w:left="48"/>
                  </w:pPr>
                  <w:r>
                    <w:rPr/>
                    <w:t>No se identifica ninguna escuela para el Apoyo y Mejora Integral (CSI, por sus siglas en inglés).</w:t>
                  </w:r>
                </w:p>
              </w:txbxContent>
            </v:textbox>
            <v:stroke dashstyle="solid"/>
            <w10:wrap type="topAndBottom"/>
          </v:shape>
        </w:pict>
      </w:r>
      <w:r>
        <w:rPr>
          <w:shd w:fill="DBE5F1" w:color="auto" w:val="clear"/>
        </w:rPr>
        <w:t>Una descripción sobre como el LEA supervisará y evaluará el plan para apoyar la mejora estudiantil y</w:t>
      </w:r>
      <w:r>
        <w:rPr>
          <w:spacing w:val="-45"/>
          <w:shd w:fill="DBE5F1" w:color="auto" w:val="clear"/>
        </w:rPr>
        <w:t> </w:t>
      </w:r>
      <w:r>
        <w:rPr>
          <w:shd w:fill="DBE5F1" w:color="auto" w:val="clear"/>
        </w:rPr>
        <w:t>escolar.</w:t>
        <w:tab/>
      </w:r>
    </w:p>
    <w:p>
      <w:pPr>
        <w:spacing w:after="0"/>
        <w:sectPr>
          <w:pgSz w:w="15840" w:h="12240" w:orient="landscape"/>
          <w:pgMar w:header="0" w:footer="284" w:top="560" w:bottom="560" w:left="120" w:right="120"/>
        </w:sectPr>
      </w:pPr>
    </w:p>
    <w:p>
      <w:pPr>
        <w:pStyle w:val="BodyText"/>
        <w:rPr>
          <w:sz w:val="20"/>
        </w:rPr>
      </w:pPr>
    </w:p>
    <w:p>
      <w:pPr>
        <w:pStyle w:val="BodyText"/>
        <w:rPr>
          <w:sz w:val="20"/>
        </w:rPr>
      </w:pPr>
    </w:p>
    <w:p>
      <w:pPr>
        <w:pStyle w:val="BodyText"/>
        <w:spacing w:before="2"/>
        <w:rPr>
          <w:sz w:val="29"/>
        </w:rPr>
      </w:pPr>
    </w:p>
    <w:p>
      <w:pPr>
        <w:pStyle w:val="BodyText"/>
        <w:tabs>
          <w:tab w:pos="15388" w:val="left" w:leader="none"/>
        </w:tabs>
        <w:spacing w:before="92"/>
        <w:ind w:left="240"/>
      </w:pPr>
      <w:r>
        <w:rPr/>
        <w:pict>
          <v:shape style="position:absolute;margin-left:11.425pt;margin-top:-39.872120pt;width:769.15pt;height:27.25pt;mso-position-horizontal-relative:page;mso-position-vertical-relative:paragraph;z-index:251670528" type="#_x0000_t202" filled="true" fillcolor="#dbe5f1" stroked="true" strokeweight="2.25pt" strokecolor="#000000">
            <v:textbox inset="0,0,0,0">
              <w:txbxContent>
                <w:p>
                  <w:pPr>
                    <w:spacing w:before="20"/>
                    <w:ind w:left="108" w:right="0" w:firstLine="0"/>
                    <w:jc w:val="left"/>
                    <w:rPr>
                      <w:b/>
                      <w:sz w:val="40"/>
                    </w:rPr>
                  </w:pPr>
                  <w:hyperlink r:id="rId17">
                    <w:r>
                      <w:rPr>
                        <w:b/>
                        <w:sz w:val="40"/>
                      </w:rPr>
                      <w:t>Participación de los Involucrados</w:t>
                    </w:r>
                  </w:hyperlink>
                </w:p>
              </w:txbxContent>
            </v:textbox>
            <v:fill type="solid"/>
            <v:stroke dashstyle="solid"/>
            <w10:wrap type="none"/>
          </v:shape>
        </w:pict>
      </w:r>
      <w:bookmarkStart w:name="Participación de los Involucrados" w:id="11"/>
      <w:bookmarkEnd w:id="11"/>
      <w:r>
        <w:rPr/>
      </w:r>
      <w:r>
        <w:rPr>
          <w:shd w:fill="DBE5F1" w:color="auto" w:val="clear"/>
        </w:rPr>
        <w:t>Un</w:t>
      </w:r>
      <w:r>
        <w:rPr>
          <w:spacing w:val="-4"/>
          <w:shd w:fill="DBE5F1" w:color="auto" w:val="clear"/>
        </w:rPr>
        <w:t> </w:t>
      </w:r>
      <w:r>
        <w:rPr>
          <w:shd w:fill="DBE5F1" w:color="auto" w:val="clear"/>
        </w:rPr>
        <w:t>resumen</w:t>
      </w:r>
      <w:r>
        <w:rPr>
          <w:spacing w:val="-3"/>
          <w:shd w:fill="DBE5F1" w:color="auto" w:val="clear"/>
        </w:rPr>
        <w:t> </w:t>
      </w:r>
      <w:r>
        <w:rPr>
          <w:shd w:fill="DBE5F1" w:color="auto" w:val="clear"/>
        </w:rPr>
        <w:t>del</w:t>
      </w:r>
      <w:r>
        <w:rPr>
          <w:spacing w:val="-3"/>
          <w:shd w:fill="DBE5F1" w:color="auto" w:val="clear"/>
        </w:rPr>
        <w:t> </w:t>
      </w:r>
      <w:r>
        <w:rPr>
          <w:shd w:fill="DBE5F1" w:color="auto" w:val="clear"/>
        </w:rPr>
        <w:t>proceso</w:t>
      </w:r>
      <w:r>
        <w:rPr>
          <w:spacing w:val="-3"/>
          <w:shd w:fill="DBE5F1" w:color="auto" w:val="clear"/>
        </w:rPr>
        <w:t> </w:t>
      </w:r>
      <w:r>
        <w:rPr>
          <w:shd w:fill="DBE5F1" w:color="auto" w:val="clear"/>
        </w:rPr>
        <w:t>de</w:t>
      </w:r>
      <w:r>
        <w:rPr>
          <w:spacing w:val="-3"/>
          <w:shd w:fill="DBE5F1" w:color="auto" w:val="clear"/>
        </w:rPr>
        <w:t> </w:t>
      </w:r>
      <w:r>
        <w:rPr>
          <w:shd w:fill="DBE5F1" w:color="auto" w:val="clear"/>
        </w:rPr>
        <w:t>involucrados</w:t>
      </w:r>
      <w:r>
        <w:rPr>
          <w:spacing w:val="-3"/>
          <w:shd w:fill="DBE5F1" w:color="auto" w:val="clear"/>
        </w:rPr>
        <w:t> </w:t>
      </w:r>
      <w:r>
        <w:rPr>
          <w:shd w:fill="DBE5F1" w:color="auto" w:val="clear"/>
        </w:rPr>
        <w:t>y</w:t>
      </w:r>
      <w:r>
        <w:rPr>
          <w:spacing w:val="-3"/>
          <w:shd w:fill="DBE5F1" w:color="auto" w:val="clear"/>
        </w:rPr>
        <w:t> </w:t>
      </w:r>
      <w:r>
        <w:rPr>
          <w:shd w:fill="DBE5F1" w:color="auto" w:val="clear"/>
        </w:rPr>
        <w:t>como</w:t>
      </w:r>
      <w:r>
        <w:rPr>
          <w:spacing w:val="-3"/>
          <w:shd w:fill="DBE5F1" w:color="auto" w:val="clear"/>
        </w:rPr>
        <w:t> </w:t>
      </w:r>
      <w:r>
        <w:rPr>
          <w:shd w:fill="DBE5F1" w:color="auto" w:val="clear"/>
        </w:rPr>
        <w:t>la</w:t>
      </w:r>
      <w:r>
        <w:rPr>
          <w:spacing w:val="-4"/>
          <w:shd w:fill="DBE5F1" w:color="auto" w:val="clear"/>
        </w:rPr>
        <w:t> </w:t>
      </w:r>
      <w:r>
        <w:rPr>
          <w:shd w:fill="DBE5F1" w:color="auto" w:val="clear"/>
        </w:rPr>
        <w:t>participación</w:t>
      </w:r>
      <w:r>
        <w:rPr>
          <w:spacing w:val="-3"/>
          <w:shd w:fill="DBE5F1" w:color="auto" w:val="clear"/>
        </w:rPr>
        <w:t> </w:t>
      </w:r>
      <w:r>
        <w:rPr>
          <w:shd w:fill="DBE5F1" w:color="auto" w:val="clear"/>
        </w:rPr>
        <w:t>de</w:t>
      </w:r>
      <w:r>
        <w:rPr>
          <w:spacing w:val="-3"/>
          <w:shd w:fill="DBE5F1" w:color="auto" w:val="clear"/>
        </w:rPr>
        <w:t> </w:t>
      </w:r>
      <w:r>
        <w:rPr>
          <w:shd w:fill="DBE5F1" w:color="auto" w:val="clear"/>
        </w:rPr>
        <w:t>los</w:t>
      </w:r>
      <w:r>
        <w:rPr>
          <w:spacing w:val="-3"/>
          <w:shd w:fill="DBE5F1" w:color="auto" w:val="clear"/>
        </w:rPr>
        <w:t> </w:t>
      </w:r>
      <w:r>
        <w:rPr>
          <w:shd w:fill="DBE5F1" w:color="auto" w:val="clear"/>
        </w:rPr>
        <w:t>involucrados</w:t>
      </w:r>
      <w:r>
        <w:rPr>
          <w:spacing w:val="-3"/>
          <w:shd w:fill="DBE5F1" w:color="auto" w:val="clear"/>
        </w:rPr>
        <w:t> </w:t>
      </w:r>
      <w:r>
        <w:rPr>
          <w:shd w:fill="DBE5F1" w:color="auto" w:val="clear"/>
        </w:rPr>
        <w:t>fue</w:t>
      </w:r>
      <w:r>
        <w:rPr>
          <w:spacing w:val="-4"/>
          <w:shd w:fill="DBE5F1" w:color="auto" w:val="clear"/>
        </w:rPr>
        <w:t> </w:t>
      </w:r>
      <w:r>
        <w:rPr>
          <w:shd w:fill="DBE5F1" w:color="auto" w:val="clear"/>
        </w:rPr>
        <w:t>considerada</w:t>
      </w:r>
      <w:r>
        <w:rPr>
          <w:spacing w:val="-4"/>
          <w:shd w:fill="DBE5F1" w:color="auto" w:val="clear"/>
        </w:rPr>
        <w:t> </w:t>
      </w:r>
      <w:r>
        <w:rPr>
          <w:shd w:fill="DBE5F1" w:color="auto" w:val="clear"/>
        </w:rPr>
        <w:t>antes</w:t>
      </w:r>
      <w:r>
        <w:rPr>
          <w:spacing w:val="-3"/>
          <w:shd w:fill="DBE5F1" w:color="auto" w:val="clear"/>
        </w:rPr>
        <w:t> </w:t>
      </w:r>
      <w:r>
        <w:rPr>
          <w:shd w:fill="DBE5F1" w:color="auto" w:val="clear"/>
        </w:rPr>
        <w:t>de</w:t>
      </w:r>
      <w:r>
        <w:rPr>
          <w:spacing w:val="-3"/>
          <w:shd w:fill="DBE5F1" w:color="auto" w:val="clear"/>
        </w:rPr>
        <w:t> </w:t>
      </w:r>
      <w:r>
        <w:rPr>
          <w:shd w:fill="DBE5F1" w:color="auto" w:val="clear"/>
        </w:rPr>
        <w:t>finalizar</w:t>
      </w:r>
      <w:r>
        <w:rPr>
          <w:spacing w:val="-4"/>
          <w:shd w:fill="DBE5F1" w:color="auto" w:val="clear"/>
        </w:rPr>
        <w:t> </w:t>
      </w:r>
      <w:r>
        <w:rPr>
          <w:shd w:fill="DBE5F1" w:color="auto" w:val="clear"/>
        </w:rPr>
        <w:t>el</w:t>
      </w:r>
      <w:r>
        <w:rPr>
          <w:spacing w:val="-3"/>
          <w:shd w:fill="DBE5F1" w:color="auto" w:val="clear"/>
        </w:rPr>
        <w:t> </w:t>
      </w:r>
      <w:r>
        <w:rPr>
          <w:shd w:fill="DBE5F1" w:color="auto" w:val="clear"/>
        </w:rPr>
        <w:t>LCAP.</w:t>
        <w:tab/>
      </w:r>
    </w:p>
    <w:p>
      <w:pPr>
        <w:pStyle w:val="BodyText"/>
        <w:spacing w:before="193"/>
        <w:ind w:left="308" w:right="369"/>
      </w:pPr>
      <w:r>
        <w:rPr/>
        <w:pict>
          <v:shape style="position:absolute;margin-left:-.5pt;margin-top:47.238838pt;width:756pt;height:473.1pt;mso-position-horizontal-relative:page;mso-position-vertical-relative:paragraph;z-index:-256687104" coordorigin="-10,945" coordsize="15120,9462" path="m370,135l370,9576m15470,135l15470,9576m360,125l15480,125m360,9586l15480,9586e" filled="false" stroked="true" strokeweight="1pt" strokecolor="#8496b0">
            <v:path arrowok="t"/>
            <v:stroke dashstyle="solid"/>
            <w10:wrap type="none"/>
          </v:shape>
        </w:pict>
      </w:r>
      <w:r>
        <w:rPr/>
        <w:t>El Distrito Escolar Primario de Winship-Robbins (W-RESD, por sus siglas en inglés) cree firmemente que la opinión de todos los involucrados es esencial para desarrollar metas, medidas y servicios que se implementan en todo el distrito. Debido a la pandemia, este ha sido un proceso de dos años para desarrollar el Plan de Contabilidad y Control Local (LCAP, por sus siglas en inglés). A lo largo de estas reuniones, se discutieron e identificaron las necesidades de nuestros alumnos utilizando datos locales en forma de encuestas, evaluaciones y observaciones para determinar las metas, medidas y servicios más apropiados para abordar la pérdida de aprendizaje y acelerar el aprendizaje.</w:t>
      </w:r>
    </w:p>
    <w:p>
      <w:pPr>
        <w:pStyle w:val="BodyText"/>
      </w:pPr>
    </w:p>
    <w:p>
      <w:pPr>
        <w:pStyle w:val="BodyText"/>
        <w:ind w:left="308" w:right="11829"/>
      </w:pPr>
      <w:r>
        <w:rPr/>
        <w:t>Reuniones del Consejo directivo 15 de julio de 2020</w:t>
      </w:r>
    </w:p>
    <w:p>
      <w:pPr>
        <w:pStyle w:val="BodyText"/>
        <w:ind w:left="308"/>
      </w:pPr>
      <w:r>
        <w:rPr/>
        <w:t>12 de agosto de 2020</w:t>
      </w:r>
    </w:p>
    <w:p>
      <w:pPr>
        <w:pStyle w:val="BodyText"/>
        <w:ind w:left="308"/>
      </w:pPr>
      <w:r>
        <w:rPr/>
        <w:t>9 de septiembre de 2020</w:t>
      </w:r>
    </w:p>
    <w:p>
      <w:pPr>
        <w:pStyle w:val="BodyText"/>
        <w:ind w:left="308"/>
      </w:pPr>
      <w:r>
        <w:rPr/>
        <w:t>14 de octubre de 2020</w:t>
      </w:r>
    </w:p>
    <w:p>
      <w:pPr>
        <w:pStyle w:val="BodyText"/>
        <w:ind w:left="308"/>
      </w:pPr>
      <w:r>
        <w:rPr/>
        <w:t>10 de noviembre de</w:t>
      </w:r>
      <w:r>
        <w:rPr>
          <w:spacing w:val="-12"/>
        </w:rPr>
        <w:t> </w:t>
      </w:r>
      <w:r>
        <w:rPr/>
        <w:t>2020</w:t>
      </w:r>
    </w:p>
    <w:p>
      <w:pPr>
        <w:pStyle w:val="BodyText"/>
        <w:ind w:left="308"/>
      </w:pPr>
      <w:r>
        <w:rPr/>
        <w:t>18 de noviembre de</w:t>
      </w:r>
      <w:r>
        <w:rPr>
          <w:spacing w:val="-12"/>
        </w:rPr>
        <w:t> </w:t>
      </w:r>
      <w:r>
        <w:rPr/>
        <w:t>2020</w:t>
      </w:r>
    </w:p>
    <w:p>
      <w:pPr>
        <w:pStyle w:val="BodyText"/>
        <w:ind w:left="308"/>
      </w:pPr>
      <w:r>
        <w:rPr/>
        <w:t>15 de diciembre de 2020</w:t>
      </w:r>
    </w:p>
    <w:p>
      <w:pPr>
        <w:pStyle w:val="BodyText"/>
        <w:ind w:left="308"/>
      </w:pPr>
      <w:r>
        <w:rPr/>
        <w:t>13 de enero de 2021</w:t>
      </w:r>
    </w:p>
    <w:p>
      <w:pPr>
        <w:pStyle w:val="BodyText"/>
        <w:ind w:left="308"/>
      </w:pPr>
      <w:r>
        <w:rPr/>
        <w:t>10 de febrero de 2021</w:t>
      </w:r>
    </w:p>
    <w:p>
      <w:pPr>
        <w:pStyle w:val="BodyText"/>
        <w:ind w:left="308"/>
      </w:pPr>
      <w:r>
        <w:rPr/>
        <w:t>10 de marzo de 2021</w:t>
      </w:r>
    </w:p>
    <w:p>
      <w:pPr>
        <w:pStyle w:val="BodyText"/>
        <w:ind w:left="308"/>
      </w:pPr>
      <w:r>
        <w:rPr/>
        <w:t>14 de abril de 2021</w:t>
      </w:r>
    </w:p>
    <w:p>
      <w:pPr>
        <w:pStyle w:val="BodyText"/>
        <w:ind w:left="308"/>
      </w:pPr>
      <w:r>
        <w:rPr/>
        <w:t>16 de mayo de 2021</w:t>
      </w:r>
    </w:p>
    <w:p>
      <w:pPr>
        <w:pStyle w:val="BodyText"/>
        <w:ind w:left="308"/>
      </w:pPr>
      <w:r>
        <w:rPr/>
        <w:t>9 de junio de 2021 - Audiencia Pública</w:t>
      </w:r>
    </w:p>
    <w:p>
      <w:pPr>
        <w:pStyle w:val="ListParagraph"/>
        <w:numPr>
          <w:ilvl w:val="0"/>
          <w:numId w:val="1"/>
        </w:numPr>
        <w:tabs>
          <w:tab w:pos="642" w:val="left" w:leader="none"/>
        </w:tabs>
        <w:spacing w:line="480" w:lineRule="auto" w:before="0" w:after="0"/>
        <w:ind w:left="308" w:right="9419" w:firstLine="0"/>
        <w:jc w:val="left"/>
        <w:rPr>
          <w:sz w:val="24"/>
        </w:rPr>
      </w:pPr>
      <w:r>
        <w:rPr>
          <w:sz w:val="24"/>
        </w:rPr>
        <w:t>de junio de 2021 - Aprobación del Consejo Directivo Sin unidad de</w:t>
      </w:r>
      <w:r>
        <w:rPr>
          <w:spacing w:val="-2"/>
          <w:sz w:val="24"/>
        </w:rPr>
        <w:t> </w:t>
      </w:r>
      <w:r>
        <w:rPr>
          <w:sz w:val="24"/>
        </w:rPr>
        <w:t>negociación</w:t>
      </w:r>
    </w:p>
    <w:p>
      <w:pPr>
        <w:pStyle w:val="BodyText"/>
        <w:ind w:left="308"/>
      </w:pPr>
      <w:r>
        <w:rPr/>
        <w:t>Personal certificado</w:t>
      </w:r>
    </w:p>
    <w:p>
      <w:pPr>
        <w:pStyle w:val="ListParagraph"/>
        <w:numPr>
          <w:ilvl w:val="0"/>
          <w:numId w:val="1"/>
        </w:numPr>
        <w:tabs>
          <w:tab w:pos="642" w:val="left" w:leader="none"/>
        </w:tabs>
        <w:spacing w:line="240" w:lineRule="auto" w:before="0" w:after="0"/>
        <w:ind w:left="641" w:right="0" w:hanging="334"/>
        <w:jc w:val="left"/>
        <w:rPr>
          <w:sz w:val="24"/>
        </w:rPr>
      </w:pPr>
      <w:r>
        <w:rPr>
          <w:sz w:val="24"/>
        </w:rPr>
        <w:t>y 18 de agosto de</w:t>
      </w:r>
      <w:r>
        <w:rPr>
          <w:spacing w:val="-1"/>
          <w:sz w:val="24"/>
        </w:rPr>
        <w:t> </w:t>
      </w:r>
      <w:r>
        <w:rPr>
          <w:sz w:val="24"/>
        </w:rPr>
        <w:t>2020</w:t>
      </w:r>
    </w:p>
    <w:p>
      <w:pPr>
        <w:pStyle w:val="BodyText"/>
        <w:ind w:left="308"/>
      </w:pPr>
      <w:r>
        <w:rPr/>
        <w:t>2 de diciembre de 2020</w:t>
      </w:r>
    </w:p>
    <w:p>
      <w:pPr>
        <w:pStyle w:val="BodyText"/>
        <w:ind w:left="308"/>
      </w:pPr>
      <w:r>
        <w:rPr/>
        <w:t>13 de enero de</w:t>
      </w:r>
      <w:r>
        <w:rPr>
          <w:spacing w:val="-11"/>
        </w:rPr>
        <w:t> </w:t>
      </w:r>
      <w:r>
        <w:rPr/>
        <w:t>2021</w:t>
      </w:r>
    </w:p>
    <w:p>
      <w:pPr>
        <w:pStyle w:val="BodyText"/>
        <w:ind w:left="308"/>
      </w:pPr>
      <w:r>
        <w:rPr/>
        <w:t>3 de febrero de</w:t>
      </w:r>
      <w:r>
        <w:rPr>
          <w:spacing w:val="-7"/>
        </w:rPr>
        <w:t> </w:t>
      </w:r>
      <w:r>
        <w:rPr/>
        <w:t>2021</w:t>
      </w:r>
    </w:p>
    <w:p>
      <w:pPr>
        <w:pStyle w:val="BodyText"/>
        <w:ind w:left="308"/>
      </w:pPr>
      <w:r>
        <w:rPr/>
        <w:t>10 de febrero de 2021</w:t>
      </w:r>
    </w:p>
    <w:p>
      <w:pPr>
        <w:pStyle w:val="BodyText"/>
        <w:ind w:left="308"/>
      </w:pPr>
      <w:r>
        <w:rPr/>
        <w:t>3 de marzo de 2021</w:t>
      </w:r>
    </w:p>
    <w:p>
      <w:pPr>
        <w:pStyle w:val="BodyText"/>
        <w:ind w:left="308"/>
      </w:pPr>
      <w:r>
        <w:rPr/>
        <w:t>10 de marzo de 2021</w:t>
      </w:r>
    </w:p>
    <w:p>
      <w:pPr>
        <w:pStyle w:val="BodyText"/>
        <w:ind w:left="308"/>
      </w:pPr>
      <w:r>
        <w:rPr/>
        <w:t>14 de abril de 2021</w:t>
      </w:r>
    </w:p>
    <w:p>
      <w:pPr>
        <w:spacing w:after="0"/>
        <w:sectPr>
          <w:pgSz w:w="15840" w:h="12240" w:orient="landscape"/>
          <w:pgMar w:header="0" w:footer="284" w:top="660" w:bottom="560" w:left="120" w:right="120"/>
        </w:sectPr>
      </w:pPr>
    </w:p>
    <w:p>
      <w:pPr>
        <w:pStyle w:val="BodyText"/>
        <w:spacing w:before="74"/>
        <w:ind w:left="308"/>
      </w:pPr>
      <w:r>
        <w:rPr/>
        <w:pict>
          <v:shape style="position:absolute;margin-left:-.5pt;margin-top:175.429825pt;width:756pt;height:404.1pt;mso-position-horizontal-relative:page;mso-position-vertical-relative:paragraph;z-index:-256684032" coordorigin="-10,3509" coordsize="15120,8082" path="m370,16l370,8077m15470,16l15470,8077m360,6l15480,6m360,8087l15480,8087e" filled="false" stroked="true" strokeweight="1pt" strokecolor="#8496b0">
            <v:path arrowok="t"/>
            <v:stroke dashstyle="solid"/>
            <w10:wrap type="none"/>
          </v:shape>
        </w:pict>
      </w:r>
      <w:r>
        <w:rPr/>
        <w:t>21 de abril de</w:t>
      </w:r>
      <w:r>
        <w:rPr>
          <w:spacing w:val="-11"/>
        </w:rPr>
        <w:t> </w:t>
      </w:r>
      <w:r>
        <w:rPr/>
        <w:t>2021</w:t>
      </w:r>
    </w:p>
    <w:p>
      <w:pPr>
        <w:pStyle w:val="BodyText"/>
        <w:ind w:left="308"/>
      </w:pPr>
      <w:r>
        <w:rPr/>
        <w:t>28 de abril de</w:t>
      </w:r>
      <w:r>
        <w:rPr>
          <w:spacing w:val="-11"/>
        </w:rPr>
        <w:t> </w:t>
      </w:r>
      <w:r>
        <w:rPr/>
        <w:t>2021</w:t>
      </w:r>
    </w:p>
    <w:p>
      <w:pPr>
        <w:pStyle w:val="BodyText"/>
        <w:ind w:left="308"/>
      </w:pPr>
      <w:r>
        <w:rPr/>
        <w:t>5 de mayo de</w:t>
      </w:r>
      <w:r>
        <w:rPr>
          <w:spacing w:val="-6"/>
        </w:rPr>
        <w:t> </w:t>
      </w:r>
      <w:r>
        <w:rPr/>
        <w:t>2021</w:t>
      </w:r>
    </w:p>
    <w:p>
      <w:pPr>
        <w:pStyle w:val="BodyText"/>
        <w:ind w:left="308"/>
      </w:pPr>
      <w:r>
        <w:rPr/>
        <w:t>12 de mayo de</w:t>
      </w:r>
      <w:r>
        <w:rPr>
          <w:spacing w:val="-7"/>
        </w:rPr>
        <w:t> </w:t>
      </w:r>
      <w:r>
        <w:rPr/>
        <w:t>2021</w:t>
      </w:r>
    </w:p>
    <w:p>
      <w:pPr>
        <w:pStyle w:val="BodyText"/>
        <w:ind w:left="308"/>
      </w:pPr>
      <w:r>
        <w:rPr/>
        <w:t>19 de mayo de</w:t>
      </w:r>
      <w:r>
        <w:rPr>
          <w:spacing w:val="-7"/>
        </w:rPr>
        <w:t> </w:t>
      </w:r>
      <w:r>
        <w:rPr/>
        <w:t>2021</w:t>
      </w:r>
    </w:p>
    <w:p>
      <w:pPr>
        <w:pStyle w:val="BodyText"/>
        <w:ind w:left="308"/>
      </w:pPr>
      <w:r>
        <w:rPr/>
        <w:t>26 de mayo de</w:t>
      </w:r>
      <w:r>
        <w:rPr>
          <w:spacing w:val="-7"/>
        </w:rPr>
        <w:t> </w:t>
      </w:r>
      <w:r>
        <w:rPr/>
        <w:t>2021</w:t>
      </w:r>
    </w:p>
    <w:p>
      <w:pPr>
        <w:pStyle w:val="BodyText"/>
      </w:pPr>
    </w:p>
    <w:p>
      <w:pPr>
        <w:pStyle w:val="BodyText"/>
        <w:ind w:left="308"/>
      </w:pPr>
      <w:r>
        <w:rPr/>
        <w:t>Encuestas al personal - Febrero 2021</w:t>
      </w:r>
    </w:p>
    <w:p>
      <w:pPr>
        <w:pStyle w:val="BodyText"/>
      </w:pPr>
    </w:p>
    <w:p>
      <w:pPr>
        <w:pStyle w:val="BodyText"/>
        <w:ind w:left="308" w:right="6853"/>
      </w:pPr>
      <w:r>
        <w:rPr/>
        <w:t>Área del Plan Local para Educación Especial (SELPA, por sus siglas en inglés) Marzo 2021</w:t>
      </w:r>
    </w:p>
    <w:p>
      <w:pPr>
        <w:pStyle w:val="BodyText"/>
      </w:pPr>
    </w:p>
    <w:p>
      <w:pPr>
        <w:pStyle w:val="BodyText"/>
        <w:ind w:left="308" w:right="357"/>
      </w:pPr>
      <w:r>
        <w:rPr/>
        <w:t>Consejo de Sitio/ Consejo Asesor para Estudiantes del Inglés (ELAC, por sus siglas en inglés)/ Consejo Asesor del Distrito para Estudiantes del Inglés (DELAC, por sus siglas en inglés)</w:t>
      </w:r>
    </w:p>
    <w:p>
      <w:pPr>
        <w:pStyle w:val="BodyText"/>
        <w:ind w:left="308"/>
      </w:pPr>
      <w:r>
        <w:rPr/>
        <w:t>24 de agosto de 2020</w:t>
      </w:r>
    </w:p>
    <w:p>
      <w:pPr>
        <w:pStyle w:val="BodyText"/>
        <w:ind w:left="308"/>
      </w:pPr>
      <w:r>
        <w:rPr/>
        <w:t>12 de enero de 2021</w:t>
      </w:r>
    </w:p>
    <w:p>
      <w:pPr>
        <w:pStyle w:val="BodyText"/>
        <w:ind w:left="308"/>
      </w:pPr>
      <w:r>
        <w:rPr/>
        <w:t>19 de abril de 2021</w:t>
      </w:r>
    </w:p>
    <w:p>
      <w:pPr>
        <w:pStyle w:val="BodyText"/>
        <w:ind w:left="308"/>
      </w:pPr>
      <w:r>
        <w:rPr/>
        <w:t>26 de mayo de 2021</w:t>
      </w:r>
    </w:p>
    <w:p>
      <w:pPr>
        <w:pStyle w:val="BodyText"/>
      </w:pPr>
    </w:p>
    <w:p>
      <w:pPr>
        <w:pStyle w:val="BodyText"/>
        <w:ind w:left="308"/>
      </w:pPr>
      <w:r>
        <w:rPr/>
        <w:t>Padres y Comunidad</w:t>
      </w:r>
    </w:p>
    <w:p>
      <w:pPr>
        <w:pStyle w:val="BodyText"/>
        <w:ind w:left="308" w:right="931"/>
      </w:pPr>
      <w:r>
        <w:rPr/>
        <w:t>Debido a las restricciones de COVID-19, los comentarios de la comunidad se hicieron a través de reuniones de Zoom, conferencias de Zoom, comunicación escrita, llamadas telefónicas y correos electrónicos durante todo el año.</w:t>
      </w:r>
    </w:p>
    <w:p>
      <w:pPr>
        <w:pStyle w:val="BodyText"/>
        <w:ind w:left="308" w:right="8321"/>
      </w:pPr>
      <w:r>
        <w:rPr/>
        <w:t>Del 5 al 9 de octubre de2020: conferencias de padres y maestros Encuestas para padres- Febrero 2021</w:t>
      </w:r>
    </w:p>
    <w:p>
      <w:pPr>
        <w:pStyle w:val="BodyText"/>
      </w:pPr>
    </w:p>
    <w:p>
      <w:pPr>
        <w:pStyle w:val="BodyText"/>
        <w:ind w:left="308"/>
      </w:pPr>
      <w:r>
        <w:rPr/>
        <w:t>Alumnos</w:t>
      </w:r>
    </w:p>
    <w:p>
      <w:pPr>
        <w:pStyle w:val="BodyText"/>
        <w:ind w:left="308" w:right="862"/>
      </w:pPr>
      <w:r>
        <w:rPr/>
        <w:t>Las encuestas para alumnos se realizaron en febrero de 2021 y nuevamente en marzo de 2021 a través de una encuesta creada por la escuela y la Encuesta "Healthy Kids" (Niños Saludables).</w:t>
      </w:r>
    </w:p>
    <w:p>
      <w:pPr>
        <w:pStyle w:val="BodyText"/>
        <w:rPr>
          <w:sz w:val="20"/>
        </w:rPr>
      </w:pPr>
    </w:p>
    <w:p>
      <w:pPr>
        <w:pStyle w:val="BodyText"/>
        <w:spacing w:before="8"/>
        <w:rPr>
          <w:sz w:val="21"/>
        </w:rPr>
      </w:pPr>
    </w:p>
    <w:p>
      <w:pPr>
        <w:pStyle w:val="BodyText"/>
        <w:tabs>
          <w:tab w:pos="15388" w:val="left" w:leader="none"/>
        </w:tabs>
        <w:ind w:left="240"/>
      </w:pPr>
      <w:r>
        <w:rPr/>
        <w:pict>
          <v:shape style="position:absolute;margin-left:18.5pt;margin-top:20.048878pt;width:755pt;height:100.5pt;mso-position-horizontal-relative:page;mso-position-vertical-relative:paragraph;z-index:-251644928;mso-wrap-distance-left:0;mso-wrap-distance-right:0" type="#_x0000_t202" filled="false" stroked="true" strokeweight="1pt" strokecolor="#8496b0">
            <v:textbox inset="0,0,0,0">
              <w:txbxContent>
                <w:p>
                  <w:pPr>
                    <w:pStyle w:val="BodyText"/>
                    <w:spacing w:before="58"/>
                    <w:ind w:left="48"/>
                  </w:pPr>
                  <w:r>
                    <w:rPr/>
                    <w:t>Resultados de la encuesta para padres</w:t>
                  </w:r>
                </w:p>
                <w:p>
                  <w:pPr>
                    <w:pStyle w:val="BodyText"/>
                    <w:ind w:left="48" w:right="2311"/>
                  </w:pPr>
                  <w:r>
                    <w:rPr/>
                    <w:t>El 75% está totalmente de acuerdo en que Robbins es un entorno amigable para los alumnos, los padres y las familias. El 77% está totalmente de acuerdo en que los maestros y el personal responden a las preocupaciones de los padres.</w:t>
                  </w:r>
                </w:p>
                <w:p>
                  <w:pPr>
                    <w:pStyle w:val="BodyText"/>
                    <w:ind w:left="48"/>
                  </w:pPr>
                  <w:r>
                    <w:rPr/>
                    <w:t>El 73% cree que se valora sus comentarios sobre la escuela.</w:t>
                  </w:r>
                </w:p>
                <w:p>
                  <w:pPr>
                    <w:pStyle w:val="BodyText"/>
                    <w:ind w:left="48" w:right="4004"/>
                  </w:pPr>
                  <w:r>
                    <w:rPr/>
                    <w:t>El 74% está totalmente de acuerdo en que la escuela es buena para mantenerse en contacto con ellos. El 90% está totalmente de acuerdo en que la escuela es un lugar seguro para aprender.</w:t>
                  </w:r>
                </w:p>
              </w:txbxContent>
            </v:textbox>
            <v:stroke dashstyle="solid"/>
            <w10:wrap type="topAndBottom"/>
          </v:shape>
        </w:pict>
      </w:r>
      <w:r>
        <w:rPr>
          <w:shd w:fill="DBE5F1" w:color="auto" w:val="clear"/>
        </w:rPr>
        <w:t>Un resumen de los comentarios proporcionados por grupos específicos de</w:t>
      </w:r>
      <w:r>
        <w:rPr>
          <w:spacing w:val="-40"/>
          <w:shd w:fill="DBE5F1" w:color="auto" w:val="clear"/>
        </w:rPr>
        <w:t> </w:t>
      </w:r>
      <w:r>
        <w:rPr>
          <w:shd w:fill="DBE5F1" w:color="auto" w:val="clear"/>
        </w:rPr>
        <w:t>involucrados.</w:t>
        <w:tab/>
      </w:r>
    </w:p>
    <w:p>
      <w:pPr>
        <w:spacing w:after="0"/>
        <w:sectPr>
          <w:pgSz w:w="15840" w:h="12240" w:orient="landscape"/>
          <w:pgMar w:header="0" w:footer="284" w:top="640" w:bottom="560" w:left="120" w:right="120"/>
        </w:sectPr>
      </w:pPr>
    </w:p>
    <w:p>
      <w:pPr>
        <w:pStyle w:val="BodyText"/>
        <w:spacing w:before="74"/>
        <w:ind w:left="308" w:right="410"/>
      </w:pPr>
      <w:r>
        <w:rPr/>
        <w:pict>
          <v:shape style="position:absolute;margin-left:-.5pt;margin-top:69.439026pt;width:756pt;height:542.1pt;mso-position-horizontal-relative:page;mso-position-vertical-relative:page;z-index:-256683008" coordorigin="-10,1389" coordsize="15120,10842" path="m370,656l370,11477m15470,656l15470,11477m360,646l15480,646m360,11487l15480,11487e" filled="false" stroked="true" strokeweight="1pt" strokecolor="#8496b0">
            <v:path arrowok="t"/>
            <v:stroke dashstyle="solid"/>
            <w10:wrap type="none"/>
          </v:shape>
        </w:pict>
      </w:r>
      <w:r>
        <w:rPr/>
        <w:t>Resumen: Los padres creen que el plan estratégico y de seguridad contra el COVID-19 mantiene a sus alumnos seguros y saludables. Una gran cantidad de padres declaró que les gusta el tamaño reducido de los salones de clases y mantener a los alumnos en grupos reducidos. Eso los hizo sentir cómodos al traer a sus hijos de regreso al plantel. Los padres aprecian que el personal haya hecho todo lo posible para garatizar que los alumnos reciban un día completo de instrucción, incluidas las oportunidades de intervención y clases de Desarrollo del Idioma Inglés (ELD, por sus siglas en inglés).</w:t>
      </w:r>
    </w:p>
    <w:p>
      <w:pPr>
        <w:pStyle w:val="BodyText"/>
      </w:pPr>
    </w:p>
    <w:p>
      <w:pPr>
        <w:pStyle w:val="BodyText"/>
        <w:ind w:left="308"/>
      </w:pPr>
      <w:r>
        <w:rPr/>
        <w:t>Resultados de la encuesta a los alumnos</w:t>
      </w:r>
    </w:p>
    <w:p>
      <w:pPr>
        <w:pStyle w:val="BodyText"/>
        <w:ind w:left="308" w:right="1677"/>
      </w:pPr>
      <w:r>
        <w:rPr/>
        <w:t>El 74% siente que la escuela les proporciona todos los libros y útiles que necesitan para aprender mientras están en la escuela. El 74% se siente conectado con la escuela.</w:t>
      </w:r>
    </w:p>
    <w:p>
      <w:pPr>
        <w:pStyle w:val="BodyText"/>
        <w:ind w:left="308"/>
      </w:pPr>
      <w:r>
        <w:rPr/>
        <w:t>El 64% cree que la escuela se comunica con sus padres si llegan tarde o faltan a la escuela.</w:t>
      </w:r>
    </w:p>
    <w:p>
      <w:pPr>
        <w:pStyle w:val="BodyText"/>
        <w:ind w:left="308" w:right="3892"/>
      </w:pPr>
      <w:r>
        <w:rPr/>
        <w:t>El 76% siente que recibe apoyo de los adulltos en la escuela para trabajar duro y dar lo mejor de sí mismo. El 72% afirmó sentirse segruo en la escuela.</w:t>
      </w:r>
    </w:p>
    <w:p>
      <w:pPr>
        <w:pStyle w:val="BodyText"/>
        <w:ind w:left="308"/>
      </w:pPr>
      <w:r>
        <w:rPr/>
        <w:t>El 80% dijo que la escuela es limpia y segura.</w:t>
      </w:r>
    </w:p>
    <w:p>
      <w:pPr>
        <w:pStyle w:val="BodyText"/>
        <w:ind w:left="308"/>
      </w:pPr>
      <w:r>
        <w:rPr/>
        <w:t>El 84% dijo que la escuela está en buenas condiciones.</w:t>
      </w:r>
    </w:p>
    <w:p>
      <w:pPr>
        <w:pStyle w:val="BodyText"/>
        <w:ind w:left="308" w:right="3478"/>
      </w:pPr>
      <w:r>
        <w:rPr/>
        <w:t>El 64% siente que la escuela los prepara para un futuro en la universidad o desarrollar una carrera profesional. El 82% sintió que nunca se sintió presionado para tomar una mala decisión en la escuela.</w:t>
      </w:r>
    </w:p>
    <w:p>
      <w:pPr>
        <w:pStyle w:val="BodyText"/>
        <w:ind w:left="308"/>
      </w:pPr>
      <w:r>
        <w:rPr/>
        <w:t>El 96% sintió que nunca se sintió la presión de consumir drogas ilegales o alcohol en la escuela.</w:t>
      </w:r>
    </w:p>
    <w:p>
      <w:pPr>
        <w:pStyle w:val="BodyText"/>
      </w:pPr>
    </w:p>
    <w:p>
      <w:pPr>
        <w:pStyle w:val="BodyText"/>
        <w:ind w:left="308" w:right="330"/>
      </w:pPr>
      <w:r>
        <w:rPr/>
        <w:t>Resumen: Los alumnos se sienten seguros en la escuela tanto física como emocionalmente. Los resultados indican que los alumnos no se sienten presionados para tomar malas decisiones o involucrase en drogas o alcohol a través de la presión de sus compañeros. Los alumnos se preocupan por la seguridad de los demás y comparten sus preocupaciones sobre otros alumnos con sus maestros.}</w:t>
      </w:r>
    </w:p>
    <w:p>
      <w:pPr>
        <w:pStyle w:val="BodyText"/>
      </w:pPr>
    </w:p>
    <w:p>
      <w:pPr>
        <w:pStyle w:val="BodyText"/>
        <w:ind w:left="308"/>
      </w:pPr>
      <w:r>
        <w:rPr/>
        <w:t>Resultados de la encuesta al personal</w:t>
      </w:r>
    </w:p>
    <w:p>
      <w:pPr>
        <w:pStyle w:val="BodyText"/>
        <w:ind w:left="308" w:right="689"/>
      </w:pPr>
      <w:r>
        <w:rPr/>
        <w:t>El 100% cree que el distrito está haciendo un buen progreso en la implementación de materiales instructivos que están alineados con las normas académicas recientemente adoptadas y/o los marcos curriculares en todos los salones de clases en artes lingüísticas en inglés (ELA, por sus siglas en</w:t>
      </w:r>
      <w:r>
        <w:rPr>
          <w:spacing w:val="-2"/>
        </w:rPr>
        <w:t> </w:t>
      </w:r>
      <w:r>
        <w:rPr/>
        <w:t>inglés).</w:t>
      </w:r>
    </w:p>
    <w:p>
      <w:pPr>
        <w:pStyle w:val="BodyText"/>
        <w:ind w:left="308" w:right="717"/>
      </w:pPr>
      <w:r>
        <w:rPr/>
        <w:t>El 80% cree que el distrito está haciendo un buen progreso en la implementación de materiales instructivos que están alineados con las normas académicas recientemente adoptadas y/o los marcos curriculares en todos los salones de clases en Desarrollo del Idioma Inglés (ELD, por sus siglas en</w:t>
      </w:r>
      <w:r>
        <w:rPr>
          <w:spacing w:val="-2"/>
        </w:rPr>
        <w:t> </w:t>
      </w:r>
      <w:r>
        <w:rPr/>
        <w:t>inglés).</w:t>
      </w:r>
    </w:p>
    <w:p>
      <w:pPr>
        <w:pStyle w:val="BodyText"/>
        <w:ind w:left="308" w:right="623"/>
      </w:pPr>
      <w:r>
        <w:rPr/>
        <w:t>El 83.3% cree que el distrito está haciendo un buen progreso en la implementación de materiales instructivos que están alineados con las normas académicas recientemente adoptadas y/o los marcos curriculares en todos los salones de clases en matemáticas.</w:t>
      </w:r>
    </w:p>
    <w:p>
      <w:pPr>
        <w:pStyle w:val="BodyText"/>
        <w:ind w:left="308" w:right="823"/>
      </w:pPr>
      <w:r>
        <w:rPr/>
        <w:t>El 17% cree que el distrito está haciendo un buen progreso en la implementación de materiales instructivos que están alineados con las normas académicas recientemente adoptadas y/o los marcos curriculares en todos los salones de clases en las Normas de Ciencia de Próxima Generación (NGSS, por sus siglas en inglés).</w:t>
      </w:r>
    </w:p>
    <w:p>
      <w:pPr>
        <w:pStyle w:val="BodyText"/>
        <w:ind w:left="308" w:right="441"/>
      </w:pPr>
      <w:r>
        <w:rPr/>
        <w:t>El 20% cree que el distrito está haciendo un buen progreso en la implementación de materiales instructivos que están alineados con las normas académicas recientemente adoptadas y/o los marcos curriculares en todos los salones de clases en Historia y Ciencias Sociales. El 100% cree que el distrito está progresando en la implementación de políticas o programas para apoyar al personal en la identificación de áreas en las que se pueden mejorar al impartir la instrucción alineada con las normas académicas recientemente adoptadas y/o marcos curriculares en</w:t>
      </w:r>
      <w:r>
        <w:rPr>
          <w:spacing w:val="-2"/>
        </w:rPr>
        <w:t> </w:t>
      </w:r>
      <w:r>
        <w:rPr/>
        <w:t>ELA.</w:t>
      </w:r>
    </w:p>
    <w:p>
      <w:pPr>
        <w:spacing w:after="0"/>
        <w:sectPr>
          <w:pgSz w:w="15840" w:h="12240" w:orient="landscape"/>
          <w:pgMar w:header="0" w:footer="284" w:top="640" w:bottom="560" w:left="120" w:right="120"/>
        </w:sectPr>
      </w:pPr>
    </w:p>
    <w:p>
      <w:pPr>
        <w:pStyle w:val="BodyText"/>
        <w:spacing w:before="74"/>
        <w:ind w:left="308" w:right="423"/>
      </w:pPr>
      <w:r>
        <w:rPr/>
        <w:pict>
          <v:shape style="position:absolute;margin-left:-.5pt;margin-top:69.439026pt;width:756pt;height:542.1pt;mso-position-horizontal-relative:page;mso-position-vertical-relative:page;z-index:-256681984" coordorigin="-10,1389" coordsize="15120,10842" path="m370,656l370,11477m15470,656l15470,11477m360,646l15480,646m360,11487l15480,11487e" filled="false" stroked="true" strokeweight="1pt" strokecolor="#8496b0">
            <v:path arrowok="t"/>
            <v:stroke dashstyle="solid"/>
            <w10:wrap type="none"/>
          </v:shape>
        </w:pict>
      </w:r>
      <w:r>
        <w:rPr/>
        <w:t>El 100% cree que el distrito está progresando en la implementación de políticas o programas para apoyar al personal en la identificación de áreas en las que se pueden mejorar al impartir la instrucción alineada con las normas académicas recientemente adoptadas y/o marcos curriculares en ELD.</w:t>
      </w:r>
    </w:p>
    <w:p>
      <w:pPr>
        <w:pStyle w:val="BodyText"/>
        <w:ind w:left="308" w:right="356"/>
      </w:pPr>
      <w:r>
        <w:rPr/>
        <w:t>El 83.3% cree que el distrito está progresando en la implementación de políticas o programas para apoyar al personal en la identificación de áreas en las que se pueden mejorar al impartir la instrucción alineada con las normas académicas recientemente adoptadas y/o marcos curriculares en matemáticas.</w:t>
      </w:r>
    </w:p>
    <w:p>
      <w:pPr>
        <w:pStyle w:val="BodyText"/>
        <w:ind w:left="308" w:right="356"/>
      </w:pPr>
      <w:r>
        <w:rPr/>
        <w:t>El 33.3% cree que el distrito está progresando en la implementación de políticas o programas para apoyar al personal en la identificación de áreas en las que se pueden mejorar al impartir la instrucción alineada con las normas académicas recientemente adoptadas y/o marcos curriculares en NGSS.</w:t>
      </w:r>
    </w:p>
    <w:p>
      <w:pPr>
        <w:pStyle w:val="BodyText"/>
        <w:ind w:left="308" w:right="969"/>
      </w:pPr>
      <w:r>
        <w:rPr/>
        <w:t>El 82% cree que el distrito hace un buen trabajo identificando las necesidades de aprendizaje profesional de grupos de maestros o del personal en general e identificando las necesidades de aprendizaje profesional de cada uno de los maestros.</w:t>
      </w:r>
    </w:p>
    <w:p>
      <w:pPr>
        <w:pStyle w:val="BodyText"/>
        <w:ind w:left="308"/>
      </w:pPr>
      <w:r>
        <w:rPr/>
        <w:t>El 68% cree que el distrito brinda apoyo a los maestros en las normas que aún no han dominado.</w:t>
      </w:r>
    </w:p>
    <w:p>
      <w:pPr>
        <w:pStyle w:val="BodyText"/>
        <w:ind w:left="308" w:right="455"/>
      </w:pPr>
      <w:r>
        <w:rPr/>
        <w:t>El 100% cree que el distrito está desarrollando la capacidad del personal para contruir relaciones de confianza y respeto con las familias. El 100% cree que el distrito apoya al personal para aprender sobre las fortalezas, culturas, idiomas y metas que cada familia tiene para sus hijos.</w:t>
      </w:r>
    </w:p>
    <w:p>
      <w:pPr>
        <w:pStyle w:val="BodyText"/>
        <w:ind w:left="308" w:right="490"/>
      </w:pPr>
      <w:r>
        <w:rPr/>
        <w:t>El 67% cree que el distrito brinda aprendizaje profesional y apoyo a los maestros y directores para mejorar la capacidad de la escuela para asociarse con las familias.</w:t>
      </w:r>
    </w:p>
    <w:p>
      <w:pPr>
        <w:pStyle w:val="BodyText"/>
      </w:pPr>
    </w:p>
    <w:p>
      <w:pPr>
        <w:pStyle w:val="BodyText"/>
        <w:ind w:left="308" w:right="322"/>
      </w:pPr>
      <w:r>
        <w:rPr/>
        <w:t>Resumen: Los resultados del personal indican que hay más trabajo por hacer en el área de NGSS. Hemos decidido comprar un currículo de ciencias para los años de Kínder a 8° y planeamos brindar apoyo en la capacitación profesional de los maestros sobre la implementación del nuevo currículo. Además, planeamos actualizar nuestro currículo de ciencias sociales e historia para asegurar que esté alienado con el Marco de California de historia y ciencias sociales. En general, el personal siente que estamos haciendo un buen trabajo implementando y alineando nuestro currículo de ELA y matemáticas con las Normas Básicas de California y los marcos adoptados. El personal reconoce que siempre podemos mejorar y continuaremos desarrollando programas y servicios que satisfagan las necesidades de todos nuestros alumnos, especialmente de nuestros estudiantes del inglés, alumnos en desventaja socioeconómica baja y nuestros alumnos con necesidades especiales.</w:t>
      </w:r>
    </w:p>
    <w:p>
      <w:pPr>
        <w:pStyle w:val="BodyText"/>
      </w:pPr>
    </w:p>
    <w:p>
      <w:pPr>
        <w:pStyle w:val="BodyText"/>
        <w:ind w:left="308" w:right="290"/>
      </w:pPr>
      <w:r>
        <w:rPr/>
        <w:t>El superintendente de los Distritos Escolares Primarios de Winship-Robbins (W-RESDs, por sus siglas en inglés) participó en reuniones semanales, quincenales y mensuales en las que la participación del departamento de salud, del Superintendente de Escuelas del Condado de Sutter (SCSOS, por sus siglas en inglés) y de los superintendentes locales discutieron sobre la actual y vigente pandemia. Los resultados de estas reuniones y consultas permitieron que W-RESD reabriera de manera segura y saludable siguiendo todos los lineamientos del Departamento de Salud Pública de California (CDPH, por sus siglas en inglés) y de los funcionarios de salud del Condado de Yuba y de Sutter. Se redactaron y se adoptaron por el consejo directivo los siguientes planes con consulta y comentarios de los funcionarios de salud pública:</w:t>
      </w:r>
    </w:p>
    <w:p>
      <w:pPr>
        <w:pStyle w:val="BodyText"/>
        <w:ind w:left="308" w:right="5413"/>
      </w:pPr>
      <w:r>
        <w:rPr/>
        <w:t>Programa de Prevención de COVID-19 (CPP, por sus siglas en inglés): 20 de enero de 2021 Plan de Reapertura Escolar del W-RESD: 30 de septiembre de 2021</w:t>
      </w:r>
    </w:p>
    <w:p>
      <w:pPr>
        <w:pStyle w:val="BodyText"/>
        <w:ind w:left="308"/>
      </w:pPr>
      <w:r>
        <w:rPr/>
        <w:t>Plan de Asistencia y Continuidad del Aprendizaje (LCaP, por sus siglas en inglés): 9 de septiembre de 2020</w:t>
      </w:r>
    </w:p>
    <w:p>
      <w:pPr>
        <w:pStyle w:val="BodyText"/>
        <w:ind w:left="308" w:right="476"/>
      </w:pPr>
      <w:r>
        <w:rPr/>
        <w:t>Actualizaciones anuales del Plan de Contabilidad y Control Local (LCAP, por sus siglas en inglés) 2019-2020 y del Plan de Continuidad del Aprendizaje (LCP, por sus siglas en inglés) 2020-21: 16 de junio de 2021</w:t>
      </w:r>
    </w:p>
    <w:p>
      <w:pPr>
        <w:spacing w:after="0"/>
        <w:sectPr>
          <w:pgSz w:w="15840" w:h="12240" w:orient="landscape"/>
          <w:pgMar w:header="0" w:footer="284" w:top="640" w:bottom="560" w:left="120" w:right="120"/>
        </w:sectPr>
      </w:pPr>
    </w:p>
    <w:p>
      <w:pPr>
        <w:pStyle w:val="BodyText"/>
        <w:ind w:left="240"/>
        <w:rPr>
          <w:sz w:val="20"/>
        </w:rPr>
      </w:pPr>
      <w:r>
        <w:rPr>
          <w:position w:val="0"/>
          <w:sz w:val="20"/>
        </w:rPr>
        <w:pict>
          <v:shape style="width:755pt;height:31.5pt;mso-position-horizontal-relative:char;mso-position-vertical-relative:line" type="#_x0000_t202" filled="false" stroked="true" strokeweight="1pt" strokecolor="#8496b0">
            <w10:anchorlock/>
            <v:textbox inset="0,0,0,0">
              <w:txbxContent>
                <w:p>
                  <w:pPr>
                    <w:pStyle w:val="BodyText"/>
                    <w:spacing w:before="58"/>
                    <w:ind w:left="48"/>
                  </w:pPr>
                  <w:r>
                    <w:rPr/>
                    <w:t>LCAP 2021-2024: 16 de junio de 2021</w:t>
                  </w:r>
                </w:p>
              </w:txbxContent>
            </v:textbox>
            <v:stroke dashstyle="solid"/>
          </v:shape>
        </w:pict>
      </w:r>
      <w:r>
        <w:rPr>
          <w:position w:val="0"/>
          <w:sz w:val="20"/>
        </w:rPr>
      </w:r>
    </w:p>
    <w:p>
      <w:pPr>
        <w:pStyle w:val="BodyText"/>
        <w:spacing w:before="5"/>
        <w:rPr>
          <w:sz w:val="13"/>
        </w:rPr>
      </w:pPr>
    </w:p>
    <w:p>
      <w:pPr>
        <w:pStyle w:val="BodyText"/>
        <w:tabs>
          <w:tab w:pos="15388" w:val="left" w:leader="none"/>
        </w:tabs>
        <w:spacing w:before="92"/>
        <w:ind w:left="240"/>
      </w:pPr>
      <w:r>
        <w:rPr/>
        <w:pict>
          <v:shape style="position:absolute;margin-left:18.5pt;margin-top:24.64887pt;width:755pt;height:128.1pt;mso-position-horizontal-relative:page;mso-position-vertical-relative:paragraph;z-index:-251639808;mso-wrap-distance-left:0;mso-wrap-distance-right:0" type="#_x0000_t202" filled="false" stroked="true" strokeweight="1pt" strokecolor="#8496b0">
            <v:textbox inset="0,0,0,0">
              <w:txbxContent>
                <w:p>
                  <w:pPr>
                    <w:pStyle w:val="BodyText"/>
                    <w:spacing w:before="58"/>
                    <w:ind w:left="48" w:right="164"/>
                  </w:pPr>
                  <w:r>
                    <w:rPr/>
                    <w:t>Las metas, medidas y servicios en el Plan de Contabilidad y Control Local (LCAP, por sus siglas en inglés) 2021-2024 fueron el resultado directo de la consulta con los involucrados, el análisis de los datos del desempeño académico y socioemocional de los alumnos según lo medido por las evaluaciones formales e informales, datos de encuestas y observaciones de los maestros. Escuchamos las inquietudes de los involucrados y desarrollamos un plan que incluye medidas y servicios específicos con un monitoreo continuo de esas medidas y servicios. Específicamente agregamos apoyo instructivo adicional a través de auxiliares docentes y maestros nuevos para asegurar que los alumnos reciban intervenciones y seguir con el número de alumnos reducido por salón. También decidimos comprar un nuevo currículo de ciencias para asegurarnos de que los maestros brinden instrucción con un currículo actualizado y alineado con las Normas de Ciencia de Próxima Generación (NGSS, por sus siglas en inglés). Se comprará un currículo de arte para asegurar que los alumnos reciban una instrucción de arte que sea apropiada y rigurosa para cada nivel de año.</w:t>
                  </w:r>
                </w:p>
              </w:txbxContent>
            </v:textbox>
            <v:stroke dashstyle="solid"/>
            <w10:wrap type="topAndBottom"/>
          </v:shape>
        </w:pict>
      </w:r>
      <w:r>
        <w:rPr>
          <w:shd w:fill="DBE5F1" w:color="auto" w:val="clear"/>
        </w:rPr>
        <w:t>Una</w:t>
      </w:r>
      <w:r>
        <w:rPr>
          <w:spacing w:val="-5"/>
          <w:shd w:fill="DBE5F1" w:color="auto" w:val="clear"/>
        </w:rPr>
        <w:t> </w:t>
      </w:r>
      <w:r>
        <w:rPr>
          <w:shd w:fill="DBE5F1" w:color="auto" w:val="clear"/>
        </w:rPr>
        <w:t>descripción</w:t>
      </w:r>
      <w:r>
        <w:rPr>
          <w:spacing w:val="-4"/>
          <w:shd w:fill="DBE5F1" w:color="auto" w:val="clear"/>
        </w:rPr>
        <w:t> </w:t>
      </w:r>
      <w:r>
        <w:rPr>
          <w:shd w:fill="DBE5F1" w:color="auto" w:val="clear"/>
        </w:rPr>
        <w:t>de</w:t>
      </w:r>
      <w:r>
        <w:rPr>
          <w:spacing w:val="-5"/>
          <w:shd w:fill="DBE5F1" w:color="auto" w:val="clear"/>
        </w:rPr>
        <w:t> </w:t>
      </w:r>
      <w:r>
        <w:rPr>
          <w:shd w:fill="DBE5F1" w:color="auto" w:val="clear"/>
        </w:rPr>
        <w:t>los</w:t>
      </w:r>
      <w:r>
        <w:rPr>
          <w:spacing w:val="-4"/>
          <w:shd w:fill="DBE5F1" w:color="auto" w:val="clear"/>
        </w:rPr>
        <w:t> </w:t>
      </w:r>
      <w:r>
        <w:rPr>
          <w:shd w:fill="DBE5F1" w:color="auto" w:val="clear"/>
        </w:rPr>
        <w:t>aspectos</w:t>
      </w:r>
      <w:r>
        <w:rPr>
          <w:spacing w:val="-5"/>
          <w:shd w:fill="DBE5F1" w:color="auto" w:val="clear"/>
        </w:rPr>
        <w:t> </w:t>
      </w:r>
      <w:r>
        <w:rPr>
          <w:shd w:fill="DBE5F1" w:color="auto" w:val="clear"/>
        </w:rPr>
        <w:t>del</w:t>
      </w:r>
      <w:r>
        <w:rPr>
          <w:spacing w:val="-4"/>
          <w:shd w:fill="DBE5F1" w:color="auto" w:val="clear"/>
        </w:rPr>
        <w:t> </w:t>
      </w:r>
      <w:r>
        <w:rPr>
          <w:shd w:fill="DBE5F1" w:color="auto" w:val="clear"/>
        </w:rPr>
        <w:t>LCAP</w:t>
      </w:r>
      <w:r>
        <w:rPr>
          <w:spacing w:val="-4"/>
          <w:shd w:fill="DBE5F1" w:color="auto" w:val="clear"/>
        </w:rPr>
        <w:t> </w:t>
      </w:r>
      <w:r>
        <w:rPr>
          <w:shd w:fill="DBE5F1" w:color="auto" w:val="clear"/>
        </w:rPr>
        <w:t>que</w:t>
      </w:r>
      <w:r>
        <w:rPr>
          <w:spacing w:val="-5"/>
          <w:shd w:fill="DBE5F1" w:color="auto" w:val="clear"/>
        </w:rPr>
        <w:t> </w:t>
      </w:r>
      <w:r>
        <w:rPr>
          <w:shd w:fill="DBE5F1" w:color="auto" w:val="clear"/>
        </w:rPr>
        <w:t>fueron</w:t>
      </w:r>
      <w:r>
        <w:rPr>
          <w:spacing w:val="-5"/>
          <w:shd w:fill="DBE5F1" w:color="auto" w:val="clear"/>
        </w:rPr>
        <w:t> </w:t>
      </w:r>
      <w:r>
        <w:rPr>
          <w:shd w:fill="DBE5F1" w:color="auto" w:val="clear"/>
        </w:rPr>
        <w:t>influenciados</w:t>
      </w:r>
      <w:r>
        <w:rPr>
          <w:spacing w:val="-4"/>
          <w:shd w:fill="DBE5F1" w:color="auto" w:val="clear"/>
        </w:rPr>
        <w:t> </w:t>
      </w:r>
      <w:r>
        <w:rPr>
          <w:shd w:fill="DBE5F1" w:color="auto" w:val="clear"/>
        </w:rPr>
        <w:t>por</w:t>
      </w:r>
      <w:r>
        <w:rPr>
          <w:spacing w:val="-5"/>
          <w:shd w:fill="DBE5F1" w:color="auto" w:val="clear"/>
        </w:rPr>
        <w:t> </w:t>
      </w:r>
      <w:r>
        <w:rPr>
          <w:shd w:fill="DBE5F1" w:color="auto" w:val="clear"/>
        </w:rPr>
        <w:t>aporte</w:t>
      </w:r>
      <w:r>
        <w:rPr>
          <w:spacing w:val="-4"/>
          <w:shd w:fill="DBE5F1" w:color="auto" w:val="clear"/>
        </w:rPr>
        <w:t> </w:t>
      </w:r>
      <w:r>
        <w:rPr>
          <w:shd w:fill="DBE5F1" w:color="auto" w:val="clear"/>
        </w:rPr>
        <w:t>específico</w:t>
      </w:r>
      <w:r>
        <w:rPr>
          <w:spacing w:val="-5"/>
          <w:shd w:fill="DBE5F1" w:color="auto" w:val="clear"/>
        </w:rPr>
        <w:t> </w:t>
      </w:r>
      <w:r>
        <w:rPr>
          <w:shd w:fill="DBE5F1" w:color="auto" w:val="clear"/>
        </w:rPr>
        <w:t>de</w:t>
      </w:r>
      <w:r>
        <w:rPr>
          <w:spacing w:val="-4"/>
          <w:shd w:fill="DBE5F1" w:color="auto" w:val="clear"/>
        </w:rPr>
        <w:t> </w:t>
      </w:r>
      <w:r>
        <w:rPr>
          <w:shd w:fill="DBE5F1" w:color="auto" w:val="clear"/>
        </w:rPr>
        <w:t>los</w:t>
      </w:r>
      <w:r>
        <w:rPr>
          <w:spacing w:val="-4"/>
          <w:shd w:fill="DBE5F1" w:color="auto" w:val="clear"/>
        </w:rPr>
        <w:t> </w:t>
      </w:r>
      <w:r>
        <w:rPr>
          <w:shd w:fill="DBE5F1" w:color="auto" w:val="clear"/>
        </w:rPr>
        <w:t>involucrados.</w:t>
        <w:tab/>
      </w:r>
    </w:p>
    <w:p>
      <w:pPr>
        <w:spacing w:after="0"/>
        <w:sectPr>
          <w:pgSz w:w="15840" w:h="12240" w:orient="landscape"/>
          <w:pgMar w:header="0" w:footer="284" w:top="640" w:bottom="560" w:left="120" w:right="120"/>
        </w:sectPr>
      </w:pPr>
    </w:p>
    <w:p>
      <w:pPr>
        <w:pStyle w:val="BodyText"/>
        <w:rPr>
          <w:sz w:val="20"/>
        </w:rPr>
      </w:pPr>
    </w:p>
    <w:p>
      <w:pPr>
        <w:pStyle w:val="BodyText"/>
        <w:rPr>
          <w:sz w:val="20"/>
        </w:rPr>
      </w:pPr>
    </w:p>
    <w:p>
      <w:pPr>
        <w:pStyle w:val="BodyText"/>
        <w:spacing w:before="6"/>
        <w:rPr>
          <w:sz w:val="25"/>
        </w:rPr>
      </w:pPr>
    </w:p>
    <w:p>
      <w:pPr>
        <w:pStyle w:val="Heading2"/>
      </w:pPr>
      <w:r>
        <w:rPr/>
        <w:pict>
          <v:shape style="position:absolute;margin-left:-.5pt;margin-top:247.124817pt;width:756pt;height:293.7pt;mso-position-horizontal-relative:page;mso-position-vertical-relative:paragraph;z-index:-256677888" coordorigin="-10,4942" coordsize="15120,5874" path="m370,2132l370,7985m15470,2132l15470,7985m360,2122l15480,2122m360,7995l15480,7995e" filled="false" stroked="true" strokeweight="1pt" strokecolor="#8496b0">
            <v:path arrowok="t"/>
            <v:stroke dashstyle="solid"/>
            <w10:wrap type="none"/>
          </v:shape>
        </w:pict>
      </w:r>
      <w:r>
        <w:rPr/>
        <w:pict>
          <v:shape style="position:absolute;margin-left:11.425pt;margin-top:-37.77219pt;width:769.15pt;height:27.25pt;mso-position-horizontal-relative:page;mso-position-vertical-relative:paragraph;z-index:251679744" type="#_x0000_t202" filled="true" fillcolor="#dbe5f1" stroked="true" strokeweight="2.25pt" strokecolor="#000000">
            <v:textbox inset="0,0,0,0">
              <w:txbxContent>
                <w:p>
                  <w:pPr>
                    <w:spacing w:before="20"/>
                    <w:ind w:left="108" w:right="0" w:firstLine="0"/>
                    <w:jc w:val="left"/>
                    <w:rPr>
                      <w:b/>
                      <w:sz w:val="40"/>
                    </w:rPr>
                  </w:pPr>
                  <w:hyperlink r:id="rId18">
                    <w:r>
                      <w:rPr>
                        <w:b/>
                        <w:sz w:val="40"/>
                      </w:rPr>
                      <w:t>Metas y Acciones</w:t>
                    </w:r>
                  </w:hyperlink>
                </w:p>
              </w:txbxContent>
            </v:textbox>
            <v:fill type="solid"/>
            <v:stroke dashstyle="solid"/>
            <w10:wrap type="none"/>
          </v:shape>
        </w:pict>
      </w:r>
      <w:bookmarkStart w:name="Metas y Acciones" w:id="12"/>
      <w:bookmarkEnd w:id="12"/>
      <w:r>
        <w:rPr>
          <w:b w:val="0"/>
        </w:rPr>
      </w:r>
      <w:bookmarkStart w:name="Meta" w:id="13"/>
      <w:bookmarkEnd w:id="13"/>
      <w:r>
        <w:rPr>
          <w:b w:val="0"/>
        </w:rPr>
      </w:r>
      <w:hyperlink r:id="rId19">
        <w:r>
          <w:rPr/>
          <w:t>Meta</w:t>
        </w:r>
      </w:hyperlink>
    </w:p>
    <w:p>
      <w:pPr>
        <w:pStyle w:val="BodyText"/>
        <w:rPr>
          <w:b/>
          <w:sz w:val="10"/>
        </w:rPr>
      </w:pPr>
    </w:p>
    <w:tbl>
      <w:tblPr>
        <w:tblW w:w="0" w:type="auto"/>
        <w:jc w:val="left"/>
        <w:tblInd w:w="250" w:type="dxa"/>
        <w:tblBorders>
          <w:top w:val="single" w:sz="4" w:space="0" w:color="8496B0"/>
          <w:left w:val="single" w:sz="4" w:space="0" w:color="8496B0"/>
          <w:bottom w:val="single" w:sz="4" w:space="0" w:color="8496B0"/>
          <w:right w:val="single" w:sz="4" w:space="0" w:color="8496B0"/>
          <w:insideH w:val="single" w:sz="4" w:space="0" w:color="8496B0"/>
          <w:insideV w:val="single" w:sz="4" w:space="0" w:color="8496B0"/>
        </w:tblBorders>
        <w:tblLayout w:type="fixed"/>
        <w:tblCellMar>
          <w:top w:w="0" w:type="dxa"/>
          <w:left w:w="0" w:type="dxa"/>
          <w:bottom w:w="0" w:type="dxa"/>
          <w:right w:w="0" w:type="dxa"/>
        </w:tblCellMar>
        <w:tblLook w:val="01E0"/>
      </w:tblPr>
      <w:tblGrid>
        <w:gridCol w:w="1985"/>
        <w:gridCol w:w="13125"/>
      </w:tblGrid>
      <w:tr>
        <w:trPr>
          <w:trHeight w:val="417" w:hRule="atLeast"/>
        </w:trPr>
        <w:tc>
          <w:tcPr>
            <w:tcW w:w="1985" w:type="dxa"/>
            <w:shd w:val="clear" w:color="auto" w:fill="DBE5F1"/>
          </w:tcPr>
          <w:p>
            <w:pPr>
              <w:pStyle w:val="TableParagraph"/>
              <w:spacing w:before="58"/>
              <w:ind w:left="598" w:right="589"/>
              <w:jc w:val="center"/>
              <w:rPr>
                <w:b/>
                <w:sz w:val="24"/>
              </w:rPr>
            </w:pPr>
            <w:r>
              <w:rPr>
                <w:b/>
                <w:sz w:val="24"/>
              </w:rPr>
              <w:t>Meta #</w:t>
            </w:r>
          </w:p>
        </w:tc>
        <w:tc>
          <w:tcPr>
            <w:tcW w:w="13125" w:type="dxa"/>
            <w:shd w:val="clear" w:color="auto" w:fill="DBE5F1"/>
          </w:tcPr>
          <w:p>
            <w:pPr>
              <w:pStyle w:val="TableParagraph"/>
              <w:spacing w:before="58"/>
              <w:ind w:left="58"/>
              <w:rPr>
                <w:b/>
                <w:sz w:val="24"/>
              </w:rPr>
            </w:pPr>
            <w:r>
              <w:rPr>
                <w:b/>
                <w:sz w:val="24"/>
              </w:rPr>
              <w:t>Descripción</w:t>
            </w:r>
          </w:p>
        </w:tc>
      </w:tr>
      <w:tr>
        <w:trPr>
          <w:trHeight w:val="609" w:hRule="atLeast"/>
        </w:trPr>
        <w:tc>
          <w:tcPr>
            <w:tcW w:w="1985" w:type="dxa"/>
          </w:tcPr>
          <w:p>
            <w:pPr>
              <w:pStyle w:val="TableParagraph"/>
              <w:spacing w:before="58"/>
              <w:ind w:left="9"/>
              <w:jc w:val="center"/>
              <w:rPr>
                <w:b/>
                <w:sz w:val="24"/>
              </w:rPr>
            </w:pPr>
            <w:r>
              <w:rPr>
                <w:b/>
                <w:sz w:val="24"/>
              </w:rPr>
              <w:t>1</w:t>
            </w:r>
          </w:p>
        </w:tc>
        <w:tc>
          <w:tcPr>
            <w:tcW w:w="13125" w:type="dxa"/>
          </w:tcPr>
          <w:p>
            <w:pPr>
              <w:pStyle w:val="TableParagraph"/>
              <w:spacing w:line="270" w:lineRule="atLeast" w:before="58"/>
              <w:ind w:left="58" w:right="1310"/>
              <w:rPr>
                <w:sz w:val="24"/>
              </w:rPr>
            </w:pPr>
            <w:r>
              <w:rPr>
                <w:sz w:val="24"/>
              </w:rPr>
              <w:t>Asegurar de que todos los alumnos estén preparados para la universidad y desarrollar una carrera profesional proporcionando una instrucción rigurosa, relevante y de alta calidad. (Prioridades del Estado: 1, 2, 4, 6, 8)</w:t>
            </w:r>
          </w:p>
        </w:tc>
      </w:tr>
    </w:tbl>
    <w:p>
      <w:pPr>
        <w:pStyle w:val="BodyText"/>
        <w:spacing w:before="10"/>
        <w:rPr>
          <w:b/>
          <w:sz w:val="7"/>
        </w:rPr>
      </w:pPr>
      <w:r>
        <w:rPr/>
        <w:pict>
          <v:shape style="position:absolute;margin-left:16.549999pt;margin-top:5.750004pt;width:758.9pt;height:13.8pt;mso-position-horizontal-relative:page;mso-position-vertical-relative:paragraph;z-index:-251638784;mso-wrap-distance-left:0;mso-wrap-distance-right:0" type="#_x0000_t202" filled="true" fillcolor="#dbe5f1" stroked="false">
            <v:textbox inset="0,0,0,0">
              <w:txbxContent>
                <w:p>
                  <w:pPr>
                    <w:pStyle w:val="BodyText"/>
                    <w:ind w:left="29"/>
                  </w:pPr>
                  <w:hyperlink r:id="rId20">
                    <w:r>
                      <w:rPr/>
                      <w:t>Una explicación sobre por qué el LEA ha desarrollado esta meta.</w:t>
                    </w:r>
                  </w:hyperlink>
                </w:p>
              </w:txbxContent>
            </v:textbox>
            <v:fill type="solid"/>
            <w10:wrap type="topAndBottom"/>
          </v:shape>
        </w:pict>
      </w:r>
    </w:p>
    <w:p>
      <w:pPr>
        <w:pStyle w:val="BodyText"/>
        <w:spacing w:before="109"/>
        <w:ind w:left="308" w:right="330"/>
      </w:pPr>
      <w:r>
        <w:rPr/>
        <w:t>Como dice nuestra misión: "Como piedra angular de la educación rural, rica en recursos naturales y profundamente conectada entre sí, con la tierra y nuestra comunidad global. El Distrito Escolar Primario de Winship-Robbins (W-RESD, por sus siglas en inglés) inspirará y desafiará a los alumnos a lograr la excelencia y metas personales, desarrollar el carácter y la confianza, e inculcar hábitos de aprendizaje que los sostendrán durante toda vida", esto se ha vuelto más importante que nunca. La pandemia ha cambiado la vida de las personas para siempre. Durante el ciclo esoclar 2019-2020, los alumnos se perdieron la instrucción académica esencial y el apoyo socioemocional ya que la escuela se vio obligada a cerrar debido a una orden estatal. Aunque tratamos de continuar asegurándonos de que los alumnos recibieran una instrucción de alta calidad, esto se llevó a cabo mediante paquetes de papel y lápices. Los alumnos estaban aprendiendo sin la supervisión e instrucción inmediata de nuestros maestros altamente calificados. Además, las necesidades socioemocionales de los alumnos eran una preocupación constante para el personal. Con base en las sugerencias de los involucrados, los datos de evaluación académica y socioemocional, W-RESD ha determinado que se continuará con un enfoque más profundo en esta meta, y en las medidas y servicios.</w:t>
      </w:r>
    </w:p>
    <w:p>
      <w:pPr>
        <w:pStyle w:val="BodyText"/>
      </w:pPr>
    </w:p>
    <w:p>
      <w:pPr>
        <w:pStyle w:val="BodyText"/>
        <w:ind w:left="308" w:right="335"/>
      </w:pPr>
      <w:r>
        <w:rPr/>
        <w:t>La capacidad de contratar a un Director de Currículo e Instrucción de medio tiempo que brindará apoyo e instrucción a los Estudiantes del Inglés, capacitación profesional a todos los maestros en todas las áreas de contenido, recopilará y monitoreará los datos de evaluación para determinar las intervenciones utilizando nuestro Sistema de Apoyo de Múltiples Niveles (MTSS, por sus siglas en inglés), el cual permitirá al distrito determinar el apoyo de instrucción necesario para acelerar el aprendizaje y abordar la pérdida de aprendizaje. Asegurar de que nuestros maestros estén altamente calificados y contratar a dos maestros adicionales para la capacitación profesional y el apoyo en la capacitación nos permitirá mantener el número de alumnos por salón reducido para asegurar una experiencia de aprendizaje más individualizada para los alumnos. La compra de un currículo de Normas de Ciencia de Próxima Generación (NGSS, por sus siglas en inglés) asegurará que los maestros enseñen las normas actuales de NGSS que se adhieren al marco científico aprobado y ayudarán a los maestros a proporcionar un curso de estudio general para todos los</w:t>
      </w:r>
      <w:r>
        <w:rPr>
          <w:spacing w:val="-6"/>
        </w:rPr>
        <w:t> </w:t>
      </w:r>
      <w:r>
        <w:rPr/>
        <w:t>años.</w:t>
      </w:r>
    </w:p>
    <w:p>
      <w:pPr>
        <w:pStyle w:val="BodyText"/>
        <w:rPr>
          <w:sz w:val="20"/>
        </w:rPr>
      </w:pPr>
    </w:p>
    <w:p>
      <w:pPr>
        <w:pStyle w:val="Heading2"/>
        <w:spacing w:before="250"/>
      </w:pPr>
      <w:bookmarkStart w:name="Midiendo y Reportando Resultados" w:id="14"/>
      <w:bookmarkEnd w:id="14"/>
      <w:r>
        <w:rPr>
          <w:b w:val="0"/>
        </w:rPr>
      </w:r>
      <w:hyperlink r:id="rId21">
        <w:r>
          <w:rPr/>
          <w:t>Midiendo y Reportando Resultados</w:t>
        </w:r>
      </w:hyperlink>
    </w:p>
    <w:p>
      <w:pPr>
        <w:pStyle w:val="BodyText"/>
        <w:rPr>
          <w:b/>
          <w:sz w:val="10"/>
        </w:rPr>
      </w:pPr>
    </w:p>
    <w:tbl>
      <w:tblPr>
        <w:tblW w:w="0" w:type="auto"/>
        <w:jc w:val="left"/>
        <w:tblInd w:w="250"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ayout w:type="fixed"/>
        <w:tblCellMar>
          <w:top w:w="0" w:type="dxa"/>
          <w:left w:w="0" w:type="dxa"/>
          <w:bottom w:w="0" w:type="dxa"/>
          <w:right w:w="0" w:type="dxa"/>
        </w:tblCellMar>
        <w:tblLook w:val="01E0"/>
      </w:tblPr>
      <w:tblGrid>
        <w:gridCol w:w="2518"/>
        <w:gridCol w:w="2518"/>
        <w:gridCol w:w="2519"/>
        <w:gridCol w:w="2518"/>
        <w:gridCol w:w="2518"/>
        <w:gridCol w:w="2519"/>
      </w:tblGrid>
      <w:tr>
        <w:trPr>
          <w:trHeight w:val="667" w:hRule="atLeast"/>
        </w:trPr>
        <w:tc>
          <w:tcPr>
            <w:tcW w:w="2518" w:type="dxa"/>
            <w:shd w:val="clear" w:color="auto" w:fill="DBE5F1"/>
          </w:tcPr>
          <w:p>
            <w:pPr>
              <w:pStyle w:val="TableParagraph"/>
              <w:spacing w:before="196"/>
              <w:ind w:left="845" w:right="835"/>
              <w:jc w:val="center"/>
              <w:rPr>
                <w:sz w:val="24"/>
              </w:rPr>
            </w:pPr>
            <w:r>
              <w:rPr>
                <w:sz w:val="24"/>
              </w:rPr>
              <w:t>Medida</w:t>
            </w:r>
          </w:p>
        </w:tc>
        <w:tc>
          <w:tcPr>
            <w:tcW w:w="2518" w:type="dxa"/>
            <w:shd w:val="clear" w:color="auto" w:fill="DBE5F1"/>
          </w:tcPr>
          <w:p>
            <w:pPr>
              <w:pStyle w:val="TableParagraph"/>
              <w:spacing w:before="196"/>
              <w:ind w:left="732"/>
              <w:rPr>
                <w:sz w:val="24"/>
              </w:rPr>
            </w:pPr>
            <w:r>
              <w:rPr>
                <w:sz w:val="24"/>
              </w:rPr>
              <w:t>Referente</w:t>
            </w:r>
          </w:p>
        </w:tc>
        <w:tc>
          <w:tcPr>
            <w:tcW w:w="2519" w:type="dxa"/>
            <w:shd w:val="clear" w:color="auto" w:fill="DBE5F1"/>
          </w:tcPr>
          <w:p>
            <w:pPr>
              <w:pStyle w:val="TableParagraph"/>
              <w:spacing w:before="196"/>
              <w:ind w:left="178"/>
              <w:rPr>
                <w:sz w:val="24"/>
              </w:rPr>
            </w:pPr>
            <w:r>
              <w:rPr>
                <w:sz w:val="24"/>
              </w:rPr>
              <w:t>Resultado del Año 1</w:t>
            </w:r>
          </w:p>
        </w:tc>
        <w:tc>
          <w:tcPr>
            <w:tcW w:w="2518" w:type="dxa"/>
            <w:shd w:val="clear" w:color="auto" w:fill="DBE5F1"/>
          </w:tcPr>
          <w:p>
            <w:pPr>
              <w:pStyle w:val="TableParagraph"/>
              <w:spacing w:before="196"/>
              <w:ind w:left="178"/>
              <w:rPr>
                <w:sz w:val="24"/>
              </w:rPr>
            </w:pPr>
            <w:r>
              <w:rPr>
                <w:sz w:val="24"/>
              </w:rPr>
              <w:t>Resultado del Año 2</w:t>
            </w:r>
          </w:p>
        </w:tc>
        <w:tc>
          <w:tcPr>
            <w:tcW w:w="2518" w:type="dxa"/>
            <w:shd w:val="clear" w:color="auto" w:fill="DBE5F1"/>
          </w:tcPr>
          <w:p>
            <w:pPr>
              <w:pStyle w:val="TableParagraph"/>
              <w:spacing w:before="196"/>
              <w:ind w:left="178"/>
              <w:rPr>
                <w:sz w:val="24"/>
              </w:rPr>
            </w:pPr>
            <w:r>
              <w:rPr>
                <w:sz w:val="24"/>
              </w:rPr>
              <w:t>Resultado del Año 3</w:t>
            </w:r>
          </w:p>
        </w:tc>
        <w:tc>
          <w:tcPr>
            <w:tcW w:w="2519" w:type="dxa"/>
            <w:shd w:val="clear" w:color="auto" w:fill="DBE5F1"/>
          </w:tcPr>
          <w:p>
            <w:pPr>
              <w:pStyle w:val="TableParagraph"/>
              <w:spacing w:before="58"/>
              <w:ind w:left="518" w:right="176" w:hanging="314"/>
              <w:rPr>
                <w:sz w:val="24"/>
              </w:rPr>
            </w:pPr>
            <w:r>
              <w:rPr>
                <w:sz w:val="24"/>
              </w:rPr>
              <w:t>Resultado Deseado para 2023–24</w:t>
            </w:r>
          </w:p>
        </w:tc>
      </w:tr>
      <w:tr>
        <w:trPr>
          <w:trHeight w:val="667" w:hRule="atLeast"/>
        </w:trPr>
        <w:tc>
          <w:tcPr>
            <w:tcW w:w="2518" w:type="dxa"/>
          </w:tcPr>
          <w:p>
            <w:pPr>
              <w:pStyle w:val="TableParagraph"/>
              <w:spacing w:before="58"/>
              <w:ind w:left="58" w:right="615"/>
              <w:rPr>
                <w:sz w:val="24"/>
              </w:rPr>
            </w:pPr>
            <w:r>
              <w:rPr>
                <w:sz w:val="24"/>
              </w:rPr>
              <w:t>Fórmula de Financiamiento y</w:t>
            </w:r>
          </w:p>
        </w:tc>
        <w:tc>
          <w:tcPr>
            <w:tcW w:w="2518" w:type="dxa"/>
          </w:tcPr>
          <w:p>
            <w:pPr>
              <w:pStyle w:val="TableParagraph"/>
              <w:spacing w:before="58"/>
              <w:ind w:left="58"/>
              <w:rPr>
                <w:sz w:val="24"/>
              </w:rPr>
            </w:pPr>
            <w:r>
              <w:rPr>
                <w:sz w:val="24"/>
              </w:rPr>
              <w:t>100%</w:t>
            </w:r>
          </w:p>
        </w:tc>
        <w:tc>
          <w:tcPr>
            <w:tcW w:w="2519" w:type="dxa"/>
          </w:tcPr>
          <w:p>
            <w:pPr>
              <w:pStyle w:val="TableParagraph"/>
              <w:rPr>
                <w:rFonts w:ascii="Times New Roman"/>
                <w:sz w:val="24"/>
              </w:rPr>
            </w:pPr>
          </w:p>
        </w:tc>
        <w:tc>
          <w:tcPr>
            <w:tcW w:w="2518" w:type="dxa"/>
          </w:tcPr>
          <w:p>
            <w:pPr>
              <w:pStyle w:val="TableParagraph"/>
              <w:rPr>
                <w:rFonts w:ascii="Times New Roman"/>
                <w:sz w:val="24"/>
              </w:rPr>
            </w:pPr>
          </w:p>
        </w:tc>
        <w:tc>
          <w:tcPr>
            <w:tcW w:w="2518" w:type="dxa"/>
          </w:tcPr>
          <w:p>
            <w:pPr>
              <w:pStyle w:val="TableParagraph"/>
              <w:rPr>
                <w:rFonts w:ascii="Times New Roman"/>
                <w:sz w:val="24"/>
              </w:rPr>
            </w:pPr>
          </w:p>
        </w:tc>
        <w:tc>
          <w:tcPr>
            <w:tcW w:w="2519" w:type="dxa"/>
          </w:tcPr>
          <w:p>
            <w:pPr>
              <w:pStyle w:val="TableParagraph"/>
              <w:spacing w:before="58"/>
              <w:ind w:left="57"/>
              <w:rPr>
                <w:sz w:val="24"/>
              </w:rPr>
            </w:pPr>
            <w:r>
              <w:rPr>
                <w:sz w:val="24"/>
              </w:rPr>
              <w:t>Mantener 100%</w:t>
            </w:r>
          </w:p>
        </w:tc>
      </w:tr>
    </w:tbl>
    <w:p>
      <w:pPr>
        <w:spacing w:after="0"/>
        <w:rPr>
          <w:sz w:val="24"/>
        </w:rPr>
        <w:sectPr>
          <w:pgSz w:w="15840" w:h="12240" w:orient="landscape"/>
          <w:pgMar w:header="0" w:footer="284" w:top="660" w:bottom="560" w:left="120" w:right="120"/>
        </w:sectPr>
      </w:pPr>
    </w:p>
    <w:tbl>
      <w:tblPr>
        <w:tblW w:w="0" w:type="auto"/>
        <w:jc w:val="left"/>
        <w:tblInd w:w="250"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ayout w:type="fixed"/>
        <w:tblCellMar>
          <w:top w:w="0" w:type="dxa"/>
          <w:left w:w="0" w:type="dxa"/>
          <w:bottom w:w="0" w:type="dxa"/>
          <w:right w:w="0" w:type="dxa"/>
        </w:tblCellMar>
        <w:tblLook w:val="01E0"/>
      </w:tblPr>
      <w:tblGrid>
        <w:gridCol w:w="2518"/>
        <w:gridCol w:w="2518"/>
        <w:gridCol w:w="2519"/>
        <w:gridCol w:w="2518"/>
        <w:gridCol w:w="2518"/>
        <w:gridCol w:w="2519"/>
      </w:tblGrid>
      <w:tr>
        <w:trPr>
          <w:trHeight w:val="667" w:hRule="atLeast"/>
        </w:trPr>
        <w:tc>
          <w:tcPr>
            <w:tcW w:w="2518" w:type="dxa"/>
            <w:shd w:val="clear" w:color="auto" w:fill="DBE5F1"/>
          </w:tcPr>
          <w:p>
            <w:pPr>
              <w:pStyle w:val="TableParagraph"/>
              <w:spacing w:before="192"/>
              <w:ind w:left="845" w:right="835"/>
              <w:jc w:val="center"/>
              <w:rPr>
                <w:sz w:val="24"/>
              </w:rPr>
            </w:pPr>
            <w:r>
              <w:rPr>
                <w:sz w:val="24"/>
              </w:rPr>
              <w:t>Medida</w:t>
            </w:r>
          </w:p>
        </w:tc>
        <w:tc>
          <w:tcPr>
            <w:tcW w:w="2518" w:type="dxa"/>
            <w:shd w:val="clear" w:color="auto" w:fill="DBE5F1"/>
          </w:tcPr>
          <w:p>
            <w:pPr>
              <w:pStyle w:val="TableParagraph"/>
              <w:spacing w:before="192"/>
              <w:ind w:left="732"/>
              <w:rPr>
                <w:sz w:val="24"/>
              </w:rPr>
            </w:pPr>
            <w:r>
              <w:rPr>
                <w:sz w:val="24"/>
              </w:rPr>
              <w:t>Referente</w:t>
            </w:r>
          </w:p>
        </w:tc>
        <w:tc>
          <w:tcPr>
            <w:tcW w:w="2519" w:type="dxa"/>
            <w:shd w:val="clear" w:color="auto" w:fill="DBE5F1"/>
          </w:tcPr>
          <w:p>
            <w:pPr>
              <w:pStyle w:val="TableParagraph"/>
              <w:spacing w:before="192"/>
              <w:ind w:left="178"/>
              <w:rPr>
                <w:sz w:val="24"/>
              </w:rPr>
            </w:pPr>
            <w:r>
              <w:rPr>
                <w:sz w:val="24"/>
              </w:rPr>
              <w:t>Resultado del Año 1</w:t>
            </w:r>
          </w:p>
        </w:tc>
        <w:tc>
          <w:tcPr>
            <w:tcW w:w="2518" w:type="dxa"/>
            <w:shd w:val="clear" w:color="auto" w:fill="DBE5F1"/>
          </w:tcPr>
          <w:p>
            <w:pPr>
              <w:pStyle w:val="TableParagraph"/>
              <w:spacing w:before="192"/>
              <w:ind w:left="178"/>
              <w:rPr>
                <w:sz w:val="24"/>
              </w:rPr>
            </w:pPr>
            <w:r>
              <w:rPr>
                <w:sz w:val="24"/>
              </w:rPr>
              <w:t>Resultado del Año 2</w:t>
            </w:r>
          </w:p>
        </w:tc>
        <w:tc>
          <w:tcPr>
            <w:tcW w:w="2518" w:type="dxa"/>
            <w:shd w:val="clear" w:color="auto" w:fill="DBE5F1"/>
          </w:tcPr>
          <w:p>
            <w:pPr>
              <w:pStyle w:val="TableParagraph"/>
              <w:spacing w:before="192"/>
              <w:ind w:left="178"/>
              <w:rPr>
                <w:sz w:val="24"/>
              </w:rPr>
            </w:pPr>
            <w:r>
              <w:rPr>
                <w:sz w:val="24"/>
              </w:rPr>
              <w:t>Resultado del Año 3</w:t>
            </w:r>
          </w:p>
        </w:tc>
        <w:tc>
          <w:tcPr>
            <w:tcW w:w="2519" w:type="dxa"/>
            <w:shd w:val="clear" w:color="auto" w:fill="DBE5F1"/>
          </w:tcPr>
          <w:p>
            <w:pPr>
              <w:pStyle w:val="TableParagraph"/>
              <w:spacing w:before="54"/>
              <w:ind w:left="518" w:right="176" w:hanging="314"/>
              <w:rPr>
                <w:sz w:val="24"/>
              </w:rPr>
            </w:pPr>
            <w:r>
              <w:rPr>
                <w:sz w:val="24"/>
              </w:rPr>
              <w:t>Resultado Deseado para 2023–24</w:t>
            </w:r>
          </w:p>
        </w:tc>
      </w:tr>
      <w:tr>
        <w:trPr>
          <w:trHeight w:val="3703" w:hRule="atLeast"/>
        </w:trPr>
        <w:tc>
          <w:tcPr>
            <w:tcW w:w="2518" w:type="dxa"/>
          </w:tcPr>
          <w:p>
            <w:pPr>
              <w:pStyle w:val="TableParagraph"/>
              <w:spacing w:before="54"/>
              <w:ind w:left="58" w:right="202"/>
              <w:rPr>
                <w:sz w:val="24"/>
              </w:rPr>
            </w:pPr>
            <w:r>
              <w:rPr>
                <w:sz w:val="24"/>
              </w:rPr>
              <w:t>Control Local (LCFF, por sus siglas en inglés) Prioridad 1a- Maestros debidamente certificados y asignados adecuadamente.</w:t>
            </w:r>
          </w:p>
          <w:p>
            <w:pPr>
              <w:pStyle w:val="TableParagraph"/>
              <w:ind w:left="58" w:right="268"/>
              <w:rPr>
                <w:sz w:val="24"/>
              </w:rPr>
            </w:pPr>
            <w:r>
              <w:rPr>
                <w:sz w:val="24"/>
              </w:rPr>
              <w:t>Fuente: Informe de Responsabilidad Escolar (SARC, por sus siglas en inglés)</w:t>
            </w:r>
          </w:p>
        </w:tc>
        <w:tc>
          <w:tcPr>
            <w:tcW w:w="2518" w:type="dxa"/>
          </w:tcPr>
          <w:p>
            <w:pPr>
              <w:pStyle w:val="TableParagraph"/>
              <w:rPr>
                <w:rFonts w:ascii="Times New Roman"/>
                <w:sz w:val="22"/>
              </w:rPr>
            </w:pPr>
          </w:p>
        </w:tc>
        <w:tc>
          <w:tcPr>
            <w:tcW w:w="2519" w:type="dxa"/>
          </w:tcPr>
          <w:p>
            <w:pPr>
              <w:pStyle w:val="TableParagraph"/>
              <w:rPr>
                <w:rFonts w:ascii="Times New Roman"/>
                <w:sz w:val="22"/>
              </w:rPr>
            </w:pPr>
          </w:p>
        </w:tc>
        <w:tc>
          <w:tcPr>
            <w:tcW w:w="2518" w:type="dxa"/>
          </w:tcPr>
          <w:p>
            <w:pPr>
              <w:pStyle w:val="TableParagraph"/>
              <w:rPr>
                <w:rFonts w:ascii="Times New Roman"/>
                <w:sz w:val="22"/>
              </w:rPr>
            </w:pPr>
          </w:p>
        </w:tc>
        <w:tc>
          <w:tcPr>
            <w:tcW w:w="2518" w:type="dxa"/>
          </w:tcPr>
          <w:p>
            <w:pPr>
              <w:pStyle w:val="TableParagraph"/>
              <w:rPr>
                <w:rFonts w:ascii="Times New Roman"/>
                <w:sz w:val="22"/>
              </w:rPr>
            </w:pPr>
          </w:p>
        </w:tc>
        <w:tc>
          <w:tcPr>
            <w:tcW w:w="2519" w:type="dxa"/>
          </w:tcPr>
          <w:p>
            <w:pPr>
              <w:pStyle w:val="TableParagraph"/>
              <w:rPr>
                <w:rFonts w:ascii="Times New Roman"/>
                <w:sz w:val="22"/>
              </w:rPr>
            </w:pPr>
          </w:p>
        </w:tc>
      </w:tr>
      <w:tr>
        <w:trPr>
          <w:trHeight w:val="3979" w:hRule="atLeast"/>
        </w:trPr>
        <w:tc>
          <w:tcPr>
            <w:tcW w:w="2518" w:type="dxa"/>
          </w:tcPr>
          <w:p>
            <w:pPr>
              <w:pStyle w:val="TableParagraph"/>
              <w:spacing w:before="54"/>
              <w:ind w:left="58" w:right="202"/>
              <w:rPr>
                <w:sz w:val="24"/>
              </w:rPr>
            </w:pPr>
            <w:r>
              <w:rPr>
                <w:sz w:val="24"/>
              </w:rPr>
              <w:t>Fórmula de Financiamiento y Control Local (LCFF, por sus siglas en inglés) Prioridad 1b- Acceso a materiales de instrucción alineados con el currículo.</w:t>
            </w:r>
          </w:p>
          <w:p>
            <w:pPr>
              <w:pStyle w:val="TableParagraph"/>
              <w:ind w:left="58" w:right="268"/>
              <w:rPr>
                <w:sz w:val="24"/>
              </w:rPr>
            </w:pPr>
            <w:r>
              <w:rPr>
                <w:sz w:val="24"/>
              </w:rPr>
              <w:t>Fuente: Informe de Responsabilidad Escolar (SARC, por sus siglas en inglés)</w:t>
            </w:r>
          </w:p>
        </w:tc>
        <w:tc>
          <w:tcPr>
            <w:tcW w:w="2518" w:type="dxa"/>
          </w:tcPr>
          <w:p>
            <w:pPr>
              <w:pStyle w:val="TableParagraph"/>
              <w:spacing w:before="54"/>
              <w:ind w:left="58"/>
              <w:rPr>
                <w:sz w:val="24"/>
              </w:rPr>
            </w:pPr>
            <w:r>
              <w:rPr>
                <w:sz w:val="24"/>
              </w:rPr>
              <w:t>100%</w:t>
            </w:r>
          </w:p>
        </w:tc>
        <w:tc>
          <w:tcPr>
            <w:tcW w:w="2519" w:type="dxa"/>
          </w:tcPr>
          <w:p>
            <w:pPr>
              <w:pStyle w:val="TableParagraph"/>
              <w:rPr>
                <w:rFonts w:ascii="Times New Roman"/>
                <w:sz w:val="22"/>
              </w:rPr>
            </w:pPr>
          </w:p>
        </w:tc>
        <w:tc>
          <w:tcPr>
            <w:tcW w:w="2518" w:type="dxa"/>
          </w:tcPr>
          <w:p>
            <w:pPr>
              <w:pStyle w:val="TableParagraph"/>
              <w:rPr>
                <w:rFonts w:ascii="Times New Roman"/>
                <w:sz w:val="22"/>
              </w:rPr>
            </w:pPr>
          </w:p>
        </w:tc>
        <w:tc>
          <w:tcPr>
            <w:tcW w:w="2518" w:type="dxa"/>
          </w:tcPr>
          <w:p>
            <w:pPr>
              <w:pStyle w:val="TableParagraph"/>
              <w:rPr>
                <w:rFonts w:ascii="Times New Roman"/>
                <w:sz w:val="22"/>
              </w:rPr>
            </w:pPr>
          </w:p>
        </w:tc>
        <w:tc>
          <w:tcPr>
            <w:tcW w:w="2519" w:type="dxa"/>
          </w:tcPr>
          <w:p>
            <w:pPr>
              <w:pStyle w:val="TableParagraph"/>
              <w:spacing w:before="54"/>
              <w:ind w:left="57"/>
              <w:rPr>
                <w:sz w:val="24"/>
              </w:rPr>
            </w:pPr>
            <w:r>
              <w:rPr>
                <w:sz w:val="24"/>
              </w:rPr>
              <w:t>Mantener 100%</w:t>
            </w:r>
          </w:p>
        </w:tc>
      </w:tr>
      <w:tr>
        <w:trPr>
          <w:trHeight w:val="2323" w:hRule="atLeast"/>
        </w:trPr>
        <w:tc>
          <w:tcPr>
            <w:tcW w:w="2518" w:type="dxa"/>
          </w:tcPr>
          <w:p>
            <w:pPr>
              <w:pStyle w:val="TableParagraph"/>
              <w:spacing w:before="54"/>
              <w:ind w:left="58" w:right="28"/>
              <w:rPr>
                <w:sz w:val="24"/>
              </w:rPr>
            </w:pPr>
            <w:r>
              <w:rPr>
                <w:sz w:val="24"/>
              </w:rPr>
              <w:t>Prioridad 2a- Implementación de las Normas Académicas del Estado</w:t>
            </w:r>
          </w:p>
          <w:p>
            <w:pPr>
              <w:pStyle w:val="TableParagraph"/>
              <w:ind w:left="58" w:right="228"/>
              <w:rPr>
                <w:sz w:val="24"/>
              </w:rPr>
            </w:pPr>
            <w:r>
              <w:rPr>
                <w:sz w:val="24"/>
              </w:rPr>
              <w:t>Fuente: Herramienta del Indicador Local para la prioridad 2</w:t>
            </w:r>
          </w:p>
        </w:tc>
        <w:tc>
          <w:tcPr>
            <w:tcW w:w="2518" w:type="dxa"/>
          </w:tcPr>
          <w:p>
            <w:pPr>
              <w:pStyle w:val="TableParagraph"/>
              <w:spacing w:before="54"/>
              <w:ind w:left="58"/>
              <w:rPr>
                <w:sz w:val="24"/>
              </w:rPr>
            </w:pPr>
            <w:r>
              <w:rPr>
                <w:sz w:val="24"/>
              </w:rPr>
              <w:t>Inicio del desarrollo</w:t>
            </w:r>
          </w:p>
          <w:p>
            <w:pPr>
              <w:pStyle w:val="TableParagraph"/>
              <w:ind w:left="58" w:right="42"/>
              <w:rPr>
                <w:sz w:val="24"/>
              </w:rPr>
            </w:pPr>
            <w:r>
              <w:rPr>
                <w:sz w:val="24"/>
              </w:rPr>
              <w:t>(2) en la implementación de las Normas de Ciencia de Próxima Generación (NGSS, por sus siglas en inglés)</w:t>
            </w:r>
          </w:p>
        </w:tc>
        <w:tc>
          <w:tcPr>
            <w:tcW w:w="2519" w:type="dxa"/>
          </w:tcPr>
          <w:p>
            <w:pPr>
              <w:pStyle w:val="TableParagraph"/>
              <w:rPr>
                <w:rFonts w:ascii="Times New Roman"/>
                <w:sz w:val="22"/>
              </w:rPr>
            </w:pPr>
          </w:p>
        </w:tc>
        <w:tc>
          <w:tcPr>
            <w:tcW w:w="2518" w:type="dxa"/>
          </w:tcPr>
          <w:p>
            <w:pPr>
              <w:pStyle w:val="TableParagraph"/>
              <w:rPr>
                <w:rFonts w:ascii="Times New Roman"/>
                <w:sz w:val="22"/>
              </w:rPr>
            </w:pPr>
          </w:p>
        </w:tc>
        <w:tc>
          <w:tcPr>
            <w:tcW w:w="2518" w:type="dxa"/>
          </w:tcPr>
          <w:p>
            <w:pPr>
              <w:pStyle w:val="TableParagraph"/>
              <w:rPr>
                <w:rFonts w:ascii="Times New Roman"/>
                <w:sz w:val="22"/>
              </w:rPr>
            </w:pPr>
          </w:p>
        </w:tc>
        <w:tc>
          <w:tcPr>
            <w:tcW w:w="2519" w:type="dxa"/>
          </w:tcPr>
          <w:p>
            <w:pPr>
              <w:pStyle w:val="TableParagraph"/>
              <w:spacing w:before="54"/>
              <w:ind w:left="57" w:right="97"/>
              <w:rPr>
                <w:sz w:val="24"/>
              </w:rPr>
            </w:pPr>
            <w:r>
              <w:rPr>
                <w:sz w:val="24"/>
              </w:rPr>
              <w:t>Implementación y sostenibilidad total (5)</w:t>
            </w:r>
          </w:p>
        </w:tc>
      </w:tr>
    </w:tbl>
    <w:p>
      <w:pPr>
        <w:spacing w:after="0"/>
        <w:rPr>
          <w:sz w:val="24"/>
        </w:rPr>
        <w:sectPr>
          <w:pgSz w:w="15840" w:h="12240" w:orient="landscape"/>
          <w:pgMar w:header="0" w:footer="284" w:top="640" w:bottom="480" w:left="120" w:right="120"/>
        </w:sectPr>
      </w:pPr>
    </w:p>
    <w:tbl>
      <w:tblPr>
        <w:tblW w:w="0" w:type="auto"/>
        <w:jc w:val="left"/>
        <w:tblInd w:w="250"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ayout w:type="fixed"/>
        <w:tblCellMar>
          <w:top w:w="0" w:type="dxa"/>
          <w:left w:w="0" w:type="dxa"/>
          <w:bottom w:w="0" w:type="dxa"/>
          <w:right w:w="0" w:type="dxa"/>
        </w:tblCellMar>
        <w:tblLook w:val="01E0"/>
      </w:tblPr>
      <w:tblGrid>
        <w:gridCol w:w="2518"/>
        <w:gridCol w:w="2518"/>
        <w:gridCol w:w="2519"/>
        <w:gridCol w:w="2518"/>
        <w:gridCol w:w="2518"/>
        <w:gridCol w:w="2519"/>
      </w:tblGrid>
      <w:tr>
        <w:trPr>
          <w:trHeight w:val="667" w:hRule="atLeast"/>
        </w:trPr>
        <w:tc>
          <w:tcPr>
            <w:tcW w:w="2518" w:type="dxa"/>
            <w:shd w:val="clear" w:color="auto" w:fill="DBE5F1"/>
          </w:tcPr>
          <w:p>
            <w:pPr>
              <w:pStyle w:val="TableParagraph"/>
              <w:spacing w:before="192"/>
              <w:ind w:left="845" w:right="835"/>
              <w:jc w:val="center"/>
              <w:rPr>
                <w:sz w:val="24"/>
              </w:rPr>
            </w:pPr>
            <w:r>
              <w:rPr>
                <w:sz w:val="24"/>
              </w:rPr>
              <w:t>Medida</w:t>
            </w:r>
          </w:p>
        </w:tc>
        <w:tc>
          <w:tcPr>
            <w:tcW w:w="2518" w:type="dxa"/>
            <w:shd w:val="clear" w:color="auto" w:fill="DBE5F1"/>
          </w:tcPr>
          <w:p>
            <w:pPr>
              <w:pStyle w:val="TableParagraph"/>
              <w:spacing w:before="192"/>
              <w:ind w:left="732"/>
              <w:rPr>
                <w:sz w:val="24"/>
              </w:rPr>
            </w:pPr>
            <w:r>
              <w:rPr>
                <w:sz w:val="24"/>
              </w:rPr>
              <w:t>Referente</w:t>
            </w:r>
          </w:p>
        </w:tc>
        <w:tc>
          <w:tcPr>
            <w:tcW w:w="2519" w:type="dxa"/>
            <w:shd w:val="clear" w:color="auto" w:fill="DBE5F1"/>
          </w:tcPr>
          <w:p>
            <w:pPr>
              <w:pStyle w:val="TableParagraph"/>
              <w:spacing w:before="192"/>
              <w:ind w:left="178"/>
              <w:rPr>
                <w:sz w:val="24"/>
              </w:rPr>
            </w:pPr>
            <w:r>
              <w:rPr>
                <w:sz w:val="24"/>
              </w:rPr>
              <w:t>Resultado del Año 1</w:t>
            </w:r>
          </w:p>
        </w:tc>
        <w:tc>
          <w:tcPr>
            <w:tcW w:w="2518" w:type="dxa"/>
            <w:shd w:val="clear" w:color="auto" w:fill="DBE5F1"/>
          </w:tcPr>
          <w:p>
            <w:pPr>
              <w:pStyle w:val="TableParagraph"/>
              <w:spacing w:before="192"/>
              <w:ind w:left="178"/>
              <w:rPr>
                <w:sz w:val="24"/>
              </w:rPr>
            </w:pPr>
            <w:r>
              <w:rPr>
                <w:sz w:val="24"/>
              </w:rPr>
              <w:t>Resultado del Año 2</w:t>
            </w:r>
          </w:p>
        </w:tc>
        <w:tc>
          <w:tcPr>
            <w:tcW w:w="2518" w:type="dxa"/>
            <w:shd w:val="clear" w:color="auto" w:fill="DBE5F1"/>
          </w:tcPr>
          <w:p>
            <w:pPr>
              <w:pStyle w:val="TableParagraph"/>
              <w:spacing w:before="192"/>
              <w:ind w:left="178"/>
              <w:rPr>
                <w:sz w:val="24"/>
              </w:rPr>
            </w:pPr>
            <w:r>
              <w:rPr>
                <w:sz w:val="24"/>
              </w:rPr>
              <w:t>Resultado del Año 3</w:t>
            </w:r>
          </w:p>
        </w:tc>
        <w:tc>
          <w:tcPr>
            <w:tcW w:w="2519" w:type="dxa"/>
            <w:shd w:val="clear" w:color="auto" w:fill="DBE5F1"/>
          </w:tcPr>
          <w:p>
            <w:pPr>
              <w:pStyle w:val="TableParagraph"/>
              <w:spacing w:before="54"/>
              <w:ind w:left="518" w:right="176" w:hanging="314"/>
              <w:rPr>
                <w:sz w:val="24"/>
              </w:rPr>
            </w:pPr>
            <w:r>
              <w:rPr>
                <w:sz w:val="24"/>
              </w:rPr>
              <w:t>Resultado Deseado para 2023–24</w:t>
            </w:r>
          </w:p>
        </w:tc>
      </w:tr>
      <w:tr>
        <w:trPr>
          <w:trHeight w:val="332" w:hRule="atLeast"/>
        </w:trPr>
        <w:tc>
          <w:tcPr>
            <w:tcW w:w="2518" w:type="dxa"/>
            <w:tcBorders>
              <w:bottom w:val="nil"/>
            </w:tcBorders>
          </w:tcPr>
          <w:p>
            <w:pPr>
              <w:pStyle w:val="TableParagraph"/>
              <w:spacing w:line="259" w:lineRule="exact" w:before="54"/>
              <w:ind w:left="58"/>
              <w:rPr>
                <w:sz w:val="24"/>
              </w:rPr>
            </w:pPr>
            <w:r>
              <w:rPr>
                <w:sz w:val="24"/>
              </w:rPr>
              <w:t>Prioridad 2b- Acceso</w:t>
            </w:r>
          </w:p>
        </w:tc>
        <w:tc>
          <w:tcPr>
            <w:tcW w:w="2518" w:type="dxa"/>
            <w:tcBorders>
              <w:bottom w:val="nil"/>
            </w:tcBorders>
          </w:tcPr>
          <w:p>
            <w:pPr>
              <w:pStyle w:val="TableParagraph"/>
              <w:spacing w:line="259" w:lineRule="exact" w:before="54"/>
              <w:ind w:left="58"/>
              <w:rPr>
                <w:sz w:val="24"/>
              </w:rPr>
            </w:pPr>
            <w:r>
              <w:rPr>
                <w:sz w:val="24"/>
              </w:rPr>
              <w:t>Interfaz de otoño de</w:t>
            </w:r>
          </w:p>
        </w:tc>
        <w:tc>
          <w:tcPr>
            <w:tcW w:w="2519" w:type="dxa"/>
            <w:vMerge w:val="restart"/>
          </w:tcPr>
          <w:p>
            <w:pPr>
              <w:pStyle w:val="TableParagraph"/>
              <w:rPr>
                <w:rFonts w:ascii="Times New Roman"/>
                <w:sz w:val="22"/>
              </w:rPr>
            </w:pPr>
          </w:p>
        </w:tc>
        <w:tc>
          <w:tcPr>
            <w:tcW w:w="2518" w:type="dxa"/>
            <w:vMerge w:val="restart"/>
          </w:tcPr>
          <w:p>
            <w:pPr>
              <w:pStyle w:val="TableParagraph"/>
              <w:rPr>
                <w:rFonts w:ascii="Times New Roman"/>
                <w:sz w:val="22"/>
              </w:rPr>
            </w:pPr>
          </w:p>
        </w:tc>
        <w:tc>
          <w:tcPr>
            <w:tcW w:w="2518" w:type="dxa"/>
            <w:vMerge w:val="restart"/>
          </w:tcPr>
          <w:p>
            <w:pPr>
              <w:pStyle w:val="TableParagraph"/>
              <w:rPr>
                <w:rFonts w:ascii="Times New Roman"/>
                <w:sz w:val="22"/>
              </w:rPr>
            </w:pPr>
          </w:p>
        </w:tc>
        <w:tc>
          <w:tcPr>
            <w:tcW w:w="2519" w:type="dxa"/>
            <w:tcBorders>
              <w:bottom w:val="nil"/>
            </w:tcBorders>
          </w:tcPr>
          <w:p>
            <w:pPr>
              <w:pStyle w:val="TableParagraph"/>
              <w:spacing w:line="259" w:lineRule="exact" w:before="54"/>
              <w:ind w:left="57"/>
              <w:rPr>
                <w:sz w:val="24"/>
              </w:rPr>
            </w:pPr>
            <w:r>
              <w:rPr>
                <w:sz w:val="24"/>
              </w:rPr>
              <w:t>Interfaz de otoño de</w:t>
            </w:r>
          </w:p>
        </w:tc>
      </w:tr>
      <w:tr>
        <w:trPr>
          <w:trHeight w:val="265" w:hRule="atLeast"/>
        </w:trPr>
        <w:tc>
          <w:tcPr>
            <w:tcW w:w="2518" w:type="dxa"/>
            <w:tcBorders>
              <w:top w:val="nil"/>
              <w:bottom w:val="nil"/>
            </w:tcBorders>
          </w:tcPr>
          <w:p>
            <w:pPr>
              <w:pStyle w:val="TableParagraph"/>
              <w:spacing w:line="246" w:lineRule="exact"/>
              <w:ind w:left="58"/>
              <w:rPr>
                <w:sz w:val="24"/>
              </w:rPr>
            </w:pPr>
            <w:r>
              <w:rPr>
                <w:sz w:val="24"/>
              </w:rPr>
              <w:t>del Estudiante del</w:t>
            </w:r>
          </w:p>
        </w:tc>
        <w:tc>
          <w:tcPr>
            <w:tcW w:w="2518" w:type="dxa"/>
            <w:tcBorders>
              <w:top w:val="nil"/>
              <w:bottom w:val="nil"/>
            </w:tcBorders>
          </w:tcPr>
          <w:p>
            <w:pPr>
              <w:pStyle w:val="TableParagraph"/>
              <w:spacing w:line="246" w:lineRule="exact"/>
              <w:ind w:left="58"/>
              <w:rPr>
                <w:sz w:val="24"/>
              </w:rPr>
            </w:pPr>
            <w:r>
              <w:rPr>
                <w:sz w:val="24"/>
              </w:rPr>
              <w:t>2019</w:t>
            </w:r>
          </w:p>
        </w:tc>
        <w:tc>
          <w:tcPr>
            <w:tcW w:w="2519" w:type="dxa"/>
            <w:vMerge/>
            <w:tcBorders>
              <w:top w:val="nil"/>
            </w:tcBorders>
          </w:tcPr>
          <w:p>
            <w:pPr>
              <w:rPr>
                <w:sz w:val="2"/>
                <w:szCs w:val="2"/>
              </w:rPr>
            </w:pPr>
          </w:p>
        </w:tc>
        <w:tc>
          <w:tcPr>
            <w:tcW w:w="2518" w:type="dxa"/>
            <w:vMerge/>
            <w:tcBorders>
              <w:top w:val="nil"/>
            </w:tcBorders>
          </w:tcPr>
          <w:p>
            <w:pPr>
              <w:rPr>
                <w:sz w:val="2"/>
                <w:szCs w:val="2"/>
              </w:rPr>
            </w:pPr>
          </w:p>
        </w:tc>
        <w:tc>
          <w:tcPr>
            <w:tcW w:w="2518" w:type="dxa"/>
            <w:vMerge/>
            <w:tcBorders>
              <w:top w:val="nil"/>
            </w:tcBorders>
          </w:tcPr>
          <w:p>
            <w:pPr>
              <w:rPr>
                <w:sz w:val="2"/>
                <w:szCs w:val="2"/>
              </w:rPr>
            </w:pPr>
          </w:p>
        </w:tc>
        <w:tc>
          <w:tcPr>
            <w:tcW w:w="2519" w:type="dxa"/>
            <w:tcBorders>
              <w:top w:val="nil"/>
              <w:bottom w:val="nil"/>
            </w:tcBorders>
          </w:tcPr>
          <w:p>
            <w:pPr>
              <w:pStyle w:val="TableParagraph"/>
              <w:spacing w:line="246" w:lineRule="exact"/>
              <w:ind w:left="57"/>
              <w:rPr>
                <w:sz w:val="24"/>
              </w:rPr>
            </w:pPr>
            <w:r>
              <w:rPr>
                <w:sz w:val="24"/>
              </w:rPr>
              <w:t>2019</w:t>
            </w:r>
          </w:p>
        </w:tc>
      </w:tr>
      <w:tr>
        <w:trPr>
          <w:trHeight w:val="265" w:hRule="atLeast"/>
        </w:trPr>
        <w:tc>
          <w:tcPr>
            <w:tcW w:w="2518" w:type="dxa"/>
            <w:tcBorders>
              <w:top w:val="nil"/>
              <w:bottom w:val="nil"/>
            </w:tcBorders>
          </w:tcPr>
          <w:p>
            <w:pPr>
              <w:pStyle w:val="TableParagraph"/>
              <w:spacing w:line="246" w:lineRule="exact"/>
              <w:ind w:left="58"/>
              <w:rPr>
                <w:sz w:val="24"/>
              </w:rPr>
            </w:pPr>
            <w:r>
              <w:rPr>
                <w:sz w:val="24"/>
              </w:rPr>
              <w:t>inglés (EL, por sus</w:t>
            </w:r>
          </w:p>
        </w:tc>
        <w:tc>
          <w:tcPr>
            <w:tcW w:w="2518" w:type="dxa"/>
            <w:tcBorders>
              <w:top w:val="nil"/>
              <w:bottom w:val="nil"/>
            </w:tcBorders>
          </w:tcPr>
          <w:p>
            <w:pPr>
              <w:pStyle w:val="TableParagraph"/>
              <w:spacing w:line="246" w:lineRule="exact"/>
              <w:ind w:left="58"/>
              <w:rPr>
                <w:sz w:val="24"/>
              </w:rPr>
            </w:pPr>
            <w:r>
              <w:rPr>
                <w:sz w:val="24"/>
              </w:rPr>
              <w:t>Resultados de artes</w:t>
            </w:r>
          </w:p>
        </w:tc>
        <w:tc>
          <w:tcPr>
            <w:tcW w:w="2519" w:type="dxa"/>
            <w:vMerge/>
            <w:tcBorders>
              <w:top w:val="nil"/>
            </w:tcBorders>
          </w:tcPr>
          <w:p>
            <w:pPr>
              <w:rPr>
                <w:sz w:val="2"/>
                <w:szCs w:val="2"/>
              </w:rPr>
            </w:pPr>
          </w:p>
        </w:tc>
        <w:tc>
          <w:tcPr>
            <w:tcW w:w="2518" w:type="dxa"/>
            <w:vMerge/>
            <w:tcBorders>
              <w:top w:val="nil"/>
            </w:tcBorders>
          </w:tcPr>
          <w:p>
            <w:pPr>
              <w:rPr>
                <w:sz w:val="2"/>
                <w:szCs w:val="2"/>
              </w:rPr>
            </w:pPr>
          </w:p>
        </w:tc>
        <w:tc>
          <w:tcPr>
            <w:tcW w:w="2518" w:type="dxa"/>
            <w:vMerge/>
            <w:tcBorders>
              <w:top w:val="nil"/>
            </w:tcBorders>
          </w:tcPr>
          <w:p>
            <w:pPr>
              <w:rPr>
                <w:sz w:val="2"/>
                <w:szCs w:val="2"/>
              </w:rPr>
            </w:pPr>
          </w:p>
        </w:tc>
        <w:tc>
          <w:tcPr>
            <w:tcW w:w="2519" w:type="dxa"/>
            <w:tcBorders>
              <w:top w:val="nil"/>
              <w:bottom w:val="nil"/>
            </w:tcBorders>
          </w:tcPr>
          <w:p>
            <w:pPr>
              <w:pStyle w:val="TableParagraph"/>
              <w:spacing w:line="246" w:lineRule="exact"/>
              <w:ind w:left="57"/>
              <w:rPr>
                <w:sz w:val="24"/>
              </w:rPr>
            </w:pPr>
            <w:r>
              <w:rPr>
                <w:sz w:val="24"/>
              </w:rPr>
              <w:t>Resultados de artes</w:t>
            </w:r>
          </w:p>
        </w:tc>
      </w:tr>
      <w:tr>
        <w:trPr>
          <w:trHeight w:val="265" w:hRule="atLeast"/>
        </w:trPr>
        <w:tc>
          <w:tcPr>
            <w:tcW w:w="2518" w:type="dxa"/>
            <w:tcBorders>
              <w:top w:val="nil"/>
              <w:bottom w:val="nil"/>
            </w:tcBorders>
          </w:tcPr>
          <w:p>
            <w:pPr>
              <w:pStyle w:val="TableParagraph"/>
              <w:spacing w:line="246" w:lineRule="exact"/>
              <w:ind w:left="58"/>
              <w:rPr>
                <w:sz w:val="24"/>
              </w:rPr>
            </w:pPr>
            <w:r>
              <w:rPr>
                <w:sz w:val="24"/>
              </w:rPr>
              <w:t>siglas en inglés) a las</w:t>
            </w:r>
          </w:p>
        </w:tc>
        <w:tc>
          <w:tcPr>
            <w:tcW w:w="2518" w:type="dxa"/>
            <w:tcBorders>
              <w:top w:val="nil"/>
              <w:bottom w:val="nil"/>
            </w:tcBorders>
          </w:tcPr>
          <w:p>
            <w:pPr>
              <w:pStyle w:val="TableParagraph"/>
              <w:spacing w:line="246" w:lineRule="exact"/>
              <w:ind w:left="58"/>
              <w:rPr>
                <w:sz w:val="24"/>
              </w:rPr>
            </w:pPr>
            <w:r>
              <w:rPr>
                <w:sz w:val="24"/>
              </w:rPr>
              <w:t>lingüísticas en inglés</w:t>
            </w:r>
          </w:p>
        </w:tc>
        <w:tc>
          <w:tcPr>
            <w:tcW w:w="2519" w:type="dxa"/>
            <w:vMerge/>
            <w:tcBorders>
              <w:top w:val="nil"/>
            </w:tcBorders>
          </w:tcPr>
          <w:p>
            <w:pPr>
              <w:rPr>
                <w:sz w:val="2"/>
                <w:szCs w:val="2"/>
              </w:rPr>
            </w:pPr>
          </w:p>
        </w:tc>
        <w:tc>
          <w:tcPr>
            <w:tcW w:w="2518" w:type="dxa"/>
            <w:vMerge/>
            <w:tcBorders>
              <w:top w:val="nil"/>
            </w:tcBorders>
          </w:tcPr>
          <w:p>
            <w:pPr>
              <w:rPr>
                <w:sz w:val="2"/>
                <w:szCs w:val="2"/>
              </w:rPr>
            </w:pPr>
          </w:p>
        </w:tc>
        <w:tc>
          <w:tcPr>
            <w:tcW w:w="2518" w:type="dxa"/>
            <w:vMerge/>
            <w:tcBorders>
              <w:top w:val="nil"/>
            </w:tcBorders>
          </w:tcPr>
          <w:p>
            <w:pPr>
              <w:rPr>
                <w:sz w:val="2"/>
                <w:szCs w:val="2"/>
              </w:rPr>
            </w:pPr>
          </w:p>
        </w:tc>
        <w:tc>
          <w:tcPr>
            <w:tcW w:w="2519" w:type="dxa"/>
            <w:tcBorders>
              <w:top w:val="nil"/>
              <w:bottom w:val="nil"/>
            </w:tcBorders>
          </w:tcPr>
          <w:p>
            <w:pPr>
              <w:pStyle w:val="TableParagraph"/>
              <w:spacing w:line="246" w:lineRule="exact"/>
              <w:ind w:left="57"/>
              <w:rPr>
                <w:sz w:val="24"/>
              </w:rPr>
            </w:pPr>
            <w:r>
              <w:rPr>
                <w:sz w:val="24"/>
              </w:rPr>
              <w:t>lingüísticas en inglés</w:t>
            </w:r>
          </w:p>
        </w:tc>
      </w:tr>
      <w:tr>
        <w:trPr>
          <w:trHeight w:val="265" w:hRule="atLeast"/>
        </w:trPr>
        <w:tc>
          <w:tcPr>
            <w:tcW w:w="2518" w:type="dxa"/>
            <w:tcBorders>
              <w:top w:val="nil"/>
              <w:bottom w:val="nil"/>
            </w:tcBorders>
          </w:tcPr>
          <w:p>
            <w:pPr>
              <w:pStyle w:val="TableParagraph"/>
              <w:spacing w:line="246" w:lineRule="exact"/>
              <w:ind w:left="58"/>
              <w:rPr>
                <w:sz w:val="24"/>
              </w:rPr>
            </w:pPr>
            <w:r>
              <w:rPr>
                <w:sz w:val="24"/>
              </w:rPr>
              <w:t>normas de California,</w:t>
            </w:r>
          </w:p>
        </w:tc>
        <w:tc>
          <w:tcPr>
            <w:tcW w:w="2518" w:type="dxa"/>
            <w:tcBorders>
              <w:top w:val="nil"/>
              <w:bottom w:val="nil"/>
            </w:tcBorders>
          </w:tcPr>
          <w:p>
            <w:pPr>
              <w:pStyle w:val="TableParagraph"/>
              <w:spacing w:line="246" w:lineRule="exact"/>
              <w:ind w:left="58"/>
              <w:rPr>
                <w:sz w:val="24"/>
              </w:rPr>
            </w:pPr>
            <w:r>
              <w:rPr>
                <w:sz w:val="24"/>
              </w:rPr>
              <w:t>(ELA, por sus siglas</w:t>
            </w:r>
          </w:p>
        </w:tc>
        <w:tc>
          <w:tcPr>
            <w:tcW w:w="2519" w:type="dxa"/>
            <w:vMerge/>
            <w:tcBorders>
              <w:top w:val="nil"/>
            </w:tcBorders>
          </w:tcPr>
          <w:p>
            <w:pPr>
              <w:rPr>
                <w:sz w:val="2"/>
                <w:szCs w:val="2"/>
              </w:rPr>
            </w:pPr>
          </w:p>
        </w:tc>
        <w:tc>
          <w:tcPr>
            <w:tcW w:w="2518" w:type="dxa"/>
            <w:vMerge/>
            <w:tcBorders>
              <w:top w:val="nil"/>
            </w:tcBorders>
          </w:tcPr>
          <w:p>
            <w:pPr>
              <w:rPr>
                <w:sz w:val="2"/>
                <w:szCs w:val="2"/>
              </w:rPr>
            </w:pPr>
          </w:p>
        </w:tc>
        <w:tc>
          <w:tcPr>
            <w:tcW w:w="2518" w:type="dxa"/>
            <w:vMerge/>
            <w:tcBorders>
              <w:top w:val="nil"/>
            </w:tcBorders>
          </w:tcPr>
          <w:p>
            <w:pPr>
              <w:rPr>
                <w:sz w:val="2"/>
                <w:szCs w:val="2"/>
              </w:rPr>
            </w:pPr>
          </w:p>
        </w:tc>
        <w:tc>
          <w:tcPr>
            <w:tcW w:w="2519" w:type="dxa"/>
            <w:tcBorders>
              <w:top w:val="nil"/>
              <w:bottom w:val="nil"/>
            </w:tcBorders>
          </w:tcPr>
          <w:p>
            <w:pPr>
              <w:pStyle w:val="TableParagraph"/>
              <w:spacing w:line="246" w:lineRule="exact"/>
              <w:ind w:left="57"/>
              <w:rPr>
                <w:sz w:val="24"/>
              </w:rPr>
            </w:pPr>
            <w:r>
              <w:rPr>
                <w:sz w:val="24"/>
              </w:rPr>
              <w:t>(ELA, por sus siglas</w:t>
            </w:r>
          </w:p>
        </w:tc>
      </w:tr>
      <w:tr>
        <w:trPr>
          <w:trHeight w:val="265" w:hRule="atLeast"/>
        </w:trPr>
        <w:tc>
          <w:tcPr>
            <w:tcW w:w="2518" w:type="dxa"/>
            <w:tcBorders>
              <w:top w:val="nil"/>
              <w:bottom w:val="nil"/>
            </w:tcBorders>
          </w:tcPr>
          <w:p>
            <w:pPr>
              <w:pStyle w:val="TableParagraph"/>
              <w:spacing w:line="246" w:lineRule="exact"/>
              <w:ind w:left="58"/>
              <w:rPr>
                <w:sz w:val="24"/>
              </w:rPr>
            </w:pPr>
            <w:r>
              <w:rPr>
                <w:sz w:val="24"/>
              </w:rPr>
              <w:t>incluidas las normas</w:t>
            </w:r>
          </w:p>
        </w:tc>
        <w:tc>
          <w:tcPr>
            <w:tcW w:w="2518" w:type="dxa"/>
            <w:tcBorders>
              <w:top w:val="nil"/>
              <w:bottom w:val="nil"/>
            </w:tcBorders>
          </w:tcPr>
          <w:p>
            <w:pPr>
              <w:pStyle w:val="TableParagraph"/>
              <w:spacing w:line="246" w:lineRule="exact"/>
              <w:ind w:left="58"/>
              <w:rPr>
                <w:sz w:val="24"/>
              </w:rPr>
            </w:pPr>
            <w:r>
              <w:rPr>
                <w:sz w:val="24"/>
              </w:rPr>
              <w:t>en inglés) de los</w:t>
            </w:r>
          </w:p>
        </w:tc>
        <w:tc>
          <w:tcPr>
            <w:tcW w:w="2519" w:type="dxa"/>
            <w:vMerge/>
            <w:tcBorders>
              <w:top w:val="nil"/>
            </w:tcBorders>
          </w:tcPr>
          <w:p>
            <w:pPr>
              <w:rPr>
                <w:sz w:val="2"/>
                <w:szCs w:val="2"/>
              </w:rPr>
            </w:pPr>
          </w:p>
        </w:tc>
        <w:tc>
          <w:tcPr>
            <w:tcW w:w="2518" w:type="dxa"/>
            <w:vMerge/>
            <w:tcBorders>
              <w:top w:val="nil"/>
            </w:tcBorders>
          </w:tcPr>
          <w:p>
            <w:pPr>
              <w:rPr>
                <w:sz w:val="2"/>
                <w:szCs w:val="2"/>
              </w:rPr>
            </w:pPr>
          </w:p>
        </w:tc>
        <w:tc>
          <w:tcPr>
            <w:tcW w:w="2518" w:type="dxa"/>
            <w:vMerge/>
            <w:tcBorders>
              <w:top w:val="nil"/>
            </w:tcBorders>
          </w:tcPr>
          <w:p>
            <w:pPr>
              <w:rPr>
                <w:sz w:val="2"/>
                <w:szCs w:val="2"/>
              </w:rPr>
            </w:pPr>
          </w:p>
        </w:tc>
        <w:tc>
          <w:tcPr>
            <w:tcW w:w="2519" w:type="dxa"/>
            <w:tcBorders>
              <w:top w:val="nil"/>
              <w:bottom w:val="nil"/>
            </w:tcBorders>
          </w:tcPr>
          <w:p>
            <w:pPr>
              <w:pStyle w:val="TableParagraph"/>
              <w:spacing w:line="246" w:lineRule="exact"/>
              <w:ind w:left="57"/>
              <w:rPr>
                <w:sz w:val="24"/>
              </w:rPr>
            </w:pPr>
            <w:r>
              <w:rPr>
                <w:sz w:val="24"/>
              </w:rPr>
              <w:t>en inglés) de los</w:t>
            </w:r>
          </w:p>
        </w:tc>
      </w:tr>
      <w:tr>
        <w:trPr>
          <w:trHeight w:val="265" w:hRule="atLeast"/>
        </w:trPr>
        <w:tc>
          <w:tcPr>
            <w:tcW w:w="2518" w:type="dxa"/>
            <w:tcBorders>
              <w:top w:val="nil"/>
              <w:bottom w:val="nil"/>
            </w:tcBorders>
          </w:tcPr>
          <w:p>
            <w:pPr>
              <w:pStyle w:val="TableParagraph"/>
              <w:spacing w:line="246" w:lineRule="exact"/>
              <w:ind w:left="58"/>
              <w:rPr>
                <w:sz w:val="24"/>
              </w:rPr>
            </w:pPr>
            <w:r>
              <w:rPr>
                <w:sz w:val="24"/>
              </w:rPr>
              <w:t>del Desarrollo del</w:t>
            </w:r>
          </w:p>
        </w:tc>
        <w:tc>
          <w:tcPr>
            <w:tcW w:w="2518" w:type="dxa"/>
            <w:tcBorders>
              <w:top w:val="nil"/>
              <w:bottom w:val="nil"/>
            </w:tcBorders>
          </w:tcPr>
          <w:p>
            <w:pPr>
              <w:pStyle w:val="TableParagraph"/>
              <w:spacing w:line="246" w:lineRule="exact"/>
              <w:ind w:left="58"/>
              <w:rPr>
                <w:sz w:val="24"/>
              </w:rPr>
            </w:pPr>
            <w:r>
              <w:rPr>
                <w:sz w:val="24"/>
              </w:rPr>
              <w:t>Estudiantes del</w:t>
            </w:r>
          </w:p>
        </w:tc>
        <w:tc>
          <w:tcPr>
            <w:tcW w:w="2519" w:type="dxa"/>
            <w:vMerge/>
            <w:tcBorders>
              <w:top w:val="nil"/>
            </w:tcBorders>
          </w:tcPr>
          <w:p>
            <w:pPr>
              <w:rPr>
                <w:sz w:val="2"/>
                <w:szCs w:val="2"/>
              </w:rPr>
            </w:pPr>
          </w:p>
        </w:tc>
        <w:tc>
          <w:tcPr>
            <w:tcW w:w="2518" w:type="dxa"/>
            <w:vMerge/>
            <w:tcBorders>
              <w:top w:val="nil"/>
            </w:tcBorders>
          </w:tcPr>
          <w:p>
            <w:pPr>
              <w:rPr>
                <w:sz w:val="2"/>
                <w:szCs w:val="2"/>
              </w:rPr>
            </w:pPr>
          </w:p>
        </w:tc>
        <w:tc>
          <w:tcPr>
            <w:tcW w:w="2518" w:type="dxa"/>
            <w:vMerge/>
            <w:tcBorders>
              <w:top w:val="nil"/>
            </w:tcBorders>
          </w:tcPr>
          <w:p>
            <w:pPr>
              <w:rPr>
                <w:sz w:val="2"/>
                <w:szCs w:val="2"/>
              </w:rPr>
            </w:pPr>
          </w:p>
        </w:tc>
        <w:tc>
          <w:tcPr>
            <w:tcW w:w="2519" w:type="dxa"/>
            <w:tcBorders>
              <w:top w:val="nil"/>
              <w:bottom w:val="nil"/>
            </w:tcBorders>
          </w:tcPr>
          <w:p>
            <w:pPr>
              <w:pStyle w:val="TableParagraph"/>
              <w:spacing w:line="246" w:lineRule="exact"/>
              <w:ind w:left="57"/>
              <w:rPr>
                <w:sz w:val="24"/>
              </w:rPr>
            </w:pPr>
            <w:r>
              <w:rPr>
                <w:sz w:val="24"/>
              </w:rPr>
              <w:t>Estudiantes del</w:t>
            </w:r>
          </w:p>
        </w:tc>
      </w:tr>
      <w:tr>
        <w:trPr>
          <w:trHeight w:val="265" w:hRule="atLeast"/>
        </w:trPr>
        <w:tc>
          <w:tcPr>
            <w:tcW w:w="2518" w:type="dxa"/>
            <w:tcBorders>
              <w:top w:val="nil"/>
              <w:bottom w:val="nil"/>
            </w:tcBorders>
          </w:tcPr>
          <w:p>
            <w:pPr>
              <w:pStyle w:val="TableParagraph"/>
              <w:spacing w:line="246" w:lineRule="exact"/>
              <w:ind w:left="58"/>
              <w:rPr>
                <w:sz w:val="24"/>
              </w:rPr>
            </w:pPr>
            <w:r>
              <w:rPr>
                <w:sz w:val="24"/>
              </w:rPr>
              <w:t>Idioma Inglés (ELD,</w:t>
            </w:r>
          </w:p>
        </w:tc>
        <w:tc>
          <w:tcPr>
            <w:tcW w:w="2518" w:type="dxa"/>
            <w:tcBorders>
              <w:top w:val="nil"/>
              <w:bottom w:val="nil"/>
            </w:tcBorders>
          </w:tcPr>
          <w:p>
            <w:pPr>
              <w:pStyle w:val="TableParagraph"/>
              <w:spacing w:line="246" w:lineRule="exact"/>
              <w:ind w:left="58"/>
              <w:rPr>
                <w:sz w:val="24"/>
              </w:rPr>
            </w:pPr>
            <w:r>
              <w:rPr>
                <w:sz w:val="24"/>
              </w:rPr>
              <w:t>Inglés: 12.5 puntos</w:t>
            </w:r>
          </w:p>
        </w:tc>
        <w:tc>
          <w:tcPr>
            <w:tcW w:w="2519" w:type="dxa"/>
            <w:vMerge/>
            <w:tcBorders>
              <w:top w:val="nil"/>
            </w:tcBorders>
          </w:tcPr>
          <w:p>
            <w:pPr>
              <w:rPr>
                <w:sz w:val="2"/>
                <w:szCs w:val="2"/>
              </w:rPr>
            </w:pPr>
          </w:p>
        </w:tc>
        <w:tc>
          <w:tcPr>
            <w:tcW w:w="2518" w:type="dxa"/>
            <w:vMerge/>
            <w:tcBorders>
              <w:top w:val="nil"/>
            </w:tcBorders>
          </w:tcPr>
          <w:p>
            <w:pPr>
              <w:rPr>
                <w:sz w:val="2"/>
                <w:szCs w:val="2"/>
              </w:rPr>
            </w:pPr>
          </w:p>
        </w:tc>
        <w:tc>
          <w:tcPr>
            <w:tcW w:w="2518" w:type="dxa"/>
            <w:vMerge/>
            <w:tcBorders>
              <w:top w:val="nil"/>
            </w:tcBorders>
          </w:tcPr>
          <w:p>
            <w:pPr>
              <w:rPr>
                <w:sz w:val="2"/>
                <w:szCs w:val="2"/>
              </w:rPr>
            </w:pPr>
          </w:p>
        </w:tc>
        <w:tc>
          <w:tcPr>
            <w:tcW w:w="2519" w:type="dxa"/>
            <w:tcBorders>
              <w:top w:val="nil"/>
              <w:bottom w:val="nil"/>
            </w:tcBorders>
          </w:tcPr>
          <w:p>
            <w:pPr>
              <w:pStyle w:val="TableParagraph"/>
              <w:spacing w:line="246" w:lineRule="exact"/>
              <w:ind w:left="57"/>
              <w:rPr>
                <w:sz w:val="24"/>
              </w:rPr>
            </w:pPr>
            <w:r>
              <w:rPr>
                <w:sz w:val="24"/>
              </w:rPr>
              <w:t>Inglés: 6.5 puntos por</w:t>
            </w:r>
          </w:p>
        </w:tc>
      </w:tr>
      <w:tr>
        <w:trPr>
          <w:trHeight w:val="265" w:hRule="atLeast"/>
        </w:trPr>
        <w:tc>
          <w:tcPr>
            <w:tcW w:w="2518" w:type="dxa"/>
            <w:tcBorders>
              <w:top w:val="nil"/>
              <w:bottom w:val="nil"/>
            </w:tcBorders>
          </w:tcPr>
          <w:p>
            <w:pPr>
              <w:pStyle w:val="TableParagraph"/>
              <w:spacing w:line="246" w:lineRule="exact"/>
              <w:ind w:left="58"/>
              <w:rPr>
                <w:sz w:val="24"/>
              </w:rPr>
            </w:pPr>
            <w:r>
              <w:rPr>
                <w:sz w:val="24"/>
              </w:rPr>
              <w:t>por sus siglas en</w:t>
            </w:r>
          </w:p>
        </w:tc>
        <w:tc>
          <w:tcPr>
            <w:tcW w:w="2518" w:type="dxa"/>
            <w:tcBorders>
              <w:top w:val="nil"/>
              <w:bottom w:val="nil"/>
            </w:tcBorders>
          </w:tcPr>
          <w:p>
            <w:pPr>
              <w:pStyle w:val="TableParagraph"/>
              <w:spacing w:line="246" w:lineRule="exact"/>
              <w:ind w:left="58"/>
              <w:rPr>
                <w:sz w:val="24"/>
              </w:rPr>
            </w:pPr>
            <w:r>
              <w:rPr>
                <w:sz w:val="24"/>
              </w:rPr>
              <w:t>por debajo de la</w:t>
            </w:r>
          </w:p>
        </w:tc>
        <w:tc>
          <w:tcPr>
            <w:tcW w:w="2519" w:type="dxa"/>
            <w:vMerge/>
            <w:tcBorders>
              <w:top w:val="nil"/>
            </w:tcBorders>
          </w:tcPr>
          <w:p>
            <w:pPr>
              <w:rPr>
                <w:sz w:val="2"/>
                <w:szCs w:val="2"/>
              </w:rPr>
            </w:pPr>
          </w:p>
        </w:tc>
        <w:tc>
          <w:tcPr>
            <w:tcW w:w="2518" w:type="dxa"/>
            <w:vMerge/>
            <w:tcBorders>
              <w:top w:val="nil"/>
            </w:tcBorders>
          </w:tcPr>
          <w:p>
            <w:pPr>
              <w:rPr>
                <w:sz w:val="2"/>
                <w:szCs w:val="2"/>
              </w:rPr>
            </w:pPr>
          </w:p>
        </w:tc>
        <w:tc>
          <w:tcPr>
            <w:tcW w:w="2518" w:type="dxa"/>
            <w:vMerge/>
            <w:tcBorders>
              <w:top w:val="nil"/>
            </w:tcBorders>
          </w:tcPr>
          <w:p>
            <w:pPr>
              <w:rPr>
                <w:sz w:val="2"/>
                <w:szCs w:val="2"/>
              </w:rPr>
            </w:pPr>
          </w:p>
        </w:tc>
        <w:tc>
          <w:tcPr>
            <w:tcW w:w="2519" w:type="dxa"/>
            <w:tcBorders>
              <w:top w:val="nil"/>
              <w:bottom w:val="nil"/>
            </w:tcBorders>
          </w:tcPr>
          <w:p>
            <w:pPr>
              <w:pStyle w:val="TableParagraph"/>
              <w:spacing w:line="246" w:lineRule="exact"/>
              <w:ind w:left="57"/>
              <w:rPr>
                <w:sz w:val="24"/>
              </w:rPr>
            </w:pPr>
            <w:r>
              <w:rPr>
                <w:sz w:val="24"/>
              </w:rPr>
              <w:t>debajo de la norma</w:t>
            </w:r>
          </w:p>
        </w:tc>
      </w:tr>
      <w:tr>
        <w:trPr>
          <w:trHeight w:val="265" w:hRule="atLeast"/>
        </w:trPr>
        <w:tc>
          <w:tcPr>
            <w:tcW w:w="2518" w:type="dxa"/>
            <w:tcBorders>
              <w:top w:val="nil"/>
              <w:bottom w:val="nil"/>
            </w:tcBorders>
          </w:tcPr>
          <w:p>
            <w:pPr>
              <w:pStyle w:val="TableParagraph"/>
              <w:spacing w:line="246" w:lineRule="exact"/>
              <w:ind w:left="58"/>
              <w:rPr>
                <w:sz w:val="24"/>
              </w:rPr>
            </w:pPr>
            <w:r>
              <w:rPr>
                <w:sz w:val="24"/>
              </w:rPr>
              <w:t>inglés).</w:t>
            </w:r>
          </w:p>
        </w:tc>
        <w:tc>
          <w:tcPr>
            <w:tcW w:w="2518" w:type="dxa"/>
            <w:tcBorders>
              <w:top w:val="nil"/>
              <w:bottom w:val="nil"/>
            </w:tcBorders>
          </w:tcPr>
          <w:p>
            <w:pPr>
              <w:pStyle w:val="TableParagraph"/>
              <w:spacing w:line="246" w:lineRule="exact"/>
              <w:ind w:left="58"/>
              <w:rPr>
                <w:sz w:val="24"/>
              </w:rPr>
            </w:pPr>
            <w:r>
              <w:rPr>
                <w:sz w:val="24"/>
              </w:rPr>
              <w:t>norma, aumentó 21.8</w:t>
            </w:r>
          </w:p>
        </w:tc>
        <w:tc>
          <w:tcPr>
            <w:tcW w:w="2519" w:type="dxa"/>
            <w:vMerge/>
            <w:tcBorders>
              <w:top w:val="nil"/>
            </w:tcBorders>
          </w:tcPr>
          <w:p>
            <w:pPr>
              <w:rPr>
                <w:sz w:val="2"/>
                <w:szCs w:val="2"/>
              </w:rPr>
            </w:pPr>
          </w:p>
        </w:tc>
        <w:tc>
          <w:tcPr>
            <w:tcW w:w="2518" w:type="dxa"/>
            <w:vMerge/>
            <w:tcBorders>
              <w:top w:val="nil"/>
            </w:tcBorders>
          </w:tcPr>
          <w:p>
            <w:pPr>
              <w:rPr>
                <w:sz w:val="2"/>
                <w:szCs w:val="2"/>
              </w:rPr>
            </w:pPr>
          </w:p>
        </w:tc>
        <w:tc>
          <w:tcPr>
            <w:tcW w:w="2518" w:type="dxa"/>
            <w:vMerge/>
            <w:tcBorders>
              <w:top w:val="nil"/>
            </w:tcBorders>
          </w:tcPr>
          <w:p>
            <w:pPr>
              <w:rPr>
                <w:sz w:val="2"/>
                <w:szCs w:val="2"/>
              </w:rPr>
            </w:pPr>
          </w:p>
        </w:tc>
        <w:tc>
          <w:tcPr>
            <w:tcW w:w="2519" w:type="dxa"/>
            <w:tcBorders>
              <w:top w:val="nil"/>
              <w:bottom w:val="nil"/>
            </w:tcBorders>
          </w:tcPr>
          <w:p>
            <w:pPr>
              <w:pStyle w:val="TableParagraph"/>
              <w:spacing w:line="246" w:lineRule="exact"/>
              <w:ind w:left="57"/>
              <w:rPr>
                <w:sz w:val="24"/>
              </w:rPr>
            </w:pPr>
            <w:r>
              <w:rPr>
                <w:sz w:val="24"/>
              </w:rPr>
              <w:t>Resultados de</w:t>
            </w:r>
          </w:p>
        </w:tc>
      </w:tr>
      <w:tr>
        <w:trPr>
          <w:trHeight w:val="265" w:hRule="atLeast"/>
        </w:trPr>
        <w:tc>
          <w:tcPr>
            <w:tcW w:w="2518" w:type="dxa"/>
            <w:tcBorders>
              <w:top w:val="nil"/>
              <w:bottom w:val="nil"/>
            </w:tcBorders>
          </w:tcPr>
          <w:p>
            <w:pPr>
              <w:pStyle w:val="TableParagraph"/>
              <w:spacing w:line="246" w:lineRule="exact"/>
              <w:ind w:left="58"/>
              <w:rPr>
                <w:sz w:val="24"/>
              </w:rPr>
            </w:pPr>
            <w:r>
              <w:rPr>
                <w:sz w:val="24"/>
              </w:rPr>
              <w:t>Fuente: Indicador</w:t>
            </w:r>
          </w:p>
        </w:tc>
        <w:tc>
          <w:tcPr>
            <w:tcW w:w="2518" w:type="dxa"/>
            <w:tcBorders>
              <w:top w:val="nil"/>
              <w:bottom w:val="nil"/>
            </w:tcBorders>
          </w:tcPr>
          <w:p>
            <w:pPr>
              <w:pStyle w:val="TableParagraph"/>
              <w:spacing w:line="246" w:lineRule="exact"/>
              <w:ind w:left="58"/>
              <w:rPr>
                <w:sz w:val="24"/>
              </w:rPr>
            </w:pPr>
            <w:r>
              <w:rPr>
                <w:sz w:val="24"/>
              </w:rPr>
              <w:t>puntos</w:t>
            </w:r>
          </w:p>
        </w:tc>
        <w:tc>
          <w:tcPr>
            <w:tcW w:w="2519" w:type="dxa"/>
            <w:vMerge/>
            <w:tcBorders>
              <w:top w:val="nil"/>
            </w:tcBorders>
          </w:tcPr>
          <w:p>
            <w:pPr>
              <w:rPr>
                <w:sz w:val="2"/>
                <w:szCs w:val="2"/>
              </w:rPr>
            </w:pPr>
          </w:p>
        </w:tc>
        <w:tc>
          <w:tcPr>
            <w:tcW w:w="2518" w:type="dxa"/>
            <w:vMerge/>
            <w:tcBorders>
              <w:top w:val="nil"/>
            </w:tcBorders>
          </w:tcPr>
          <w:p>
            <w:pPr>
              <w:rPr>
                <w:sz w:val="2"/>
                <w:szCs w:val="2"/>
              </w:rPr>
            </w:pPr>
          </w:p>
        </w:tc>
        <w:tc>
          <w:tcPr>
            <w:tcW w:w="2518" w:type="dxa"/>
            <w:vMerge/>
            <w:tcBorders>
              <w:top w:val="nil"/>
            </w:tcBorders>
          </w:tcPr>
          <w:p>
            <w:pPr>
              <w:rPr>
                <w:sz w:val="2"/>
                <w:szCs w:val="2"/>
              </w:rPr>
            </w:pPr>
          </w:p>
        </w:tc>
        <w:tc>
          <w:tcPr>
            <w:tcW w:w="2519" w:type="dxa"/>
            <w:tcBorders>
              <w:top w:val="nil"/>
              <w:bottom w:val="nil"/>
            </w:tcBorders>
          </w:tcPr>
          <w:p>
            <w:pPr>
              <w:pStyle w:val="TableParagraph"/>
              <w:spacing w:line="246" w:lineRule="exact"/>
              <w:ind w:left="57"/>
              <w:rPr>
                <w:sz w:val="24"/>
              </w:rPr>
            </w:pPr>
            <w:r>
              <w:rPr>
                <w:sz w:val="24"/>
              </w:rPr>
              <w:t>matemáticas de los</w:t>
            </w:r>
          </w:p>
        </w:tc>
      </w:tr>
      <w:tr>
        <w:trPr>
          <w:trHeight w:val="265" w:hRule="atLeast"/>
        </w:trPr>
        <w:tc>
          <w:tcPr>
            <w:tcW w:w="2518" w:type="dxa"/>
            <w:tcBorders>
              <w:top w:val="nil"/>
              <w:bottom w:val="nil"/>
            </w:tcBorders>
          </w:tcPr>
          <w:p>
            <w:pPr>
              <w:pStyle w:val="TableParagraph"/>
              <w:spacing w:line="246" w:lineRule="exact"/>
              <w:ind w:left="58"/>
              <w:rPr>
                <w:sz w:val="24"/>
              </w:rPr>
            </w:pPr>
            <w:r>
              <w:rPr>
                <w:sz w:val="24"/>
              </w:rPr>
              <w:t>Académico de la</w:t>
            </w:r>
          </w:p>
        </w:tc>
        <w:tc>
          <w:tcPr>
            <w:tcW w:w="2518" w:type="dxa"/>
            <w:tcBorders>
              <w:top w:val="nil"/>
              <w:bottom w:val="nil"/>
            </w:tcBorders>
          </w:tcPr>
          <w:p>
            <w:pPr>
              <w:pStyle w:val="TableParagraph"/>
              <w:spacing w:line="246" w:lineRule="exact"/>
              <w:ind w:left="58"/>
              <w:rPr>
                <w:sz w:val="24"/>
              </w:rPr>
            </w:pPr>
            <w:r>
              <w:rPr>
                <w:sz w:val="24"/>
              </w:rPr>
              <w:t>Resultados de</w:t>
            </w:r>
          </w:p>
        </w:tc>
        <w:tc>
          <w:tcPr>
            <w:tcW w:w="2519" w:type="dxa"/>
            <w:vMerge/>
            <w:tcBorders>
              <w:top w:val="nil"/>
            </w:tcBorders>
          </w:tcPr>
          <w:p>
            <w:pPr>
              <w:rPr>
                <w:sz w:val="2"/>
                <w:szCs w:val="2"/>
              </w:rPr>
            </w:pPr>
          </w:p>
        </w:tc>
        <w:tc>
          <w:tcPr>
            <w:tcW w:w="2518" w:type="dxa"/>
            <w:vMerge/>
            <w:tcBorders>
              <w:top w:val="nil"/>
            </w:tcBorders>
          </w:tcPr>
          <w:p>
            <w:pPr>
              <w:rPr>
                <w:sz w:val="2"/>
                <w:szCs w:val="2"/>
              </w:rPr>
            </w:pPr>
          </w:p>
        </w:tc>
        <w:tc>
          <w:tcPr>
            <w:tcW w:w="2518" w:type="dxa"/>
            <w:vMerge/>
            <w:tcBorders>
              <w:top w:val="nil"/>
            </w:tcBorders>
          </w:tcPr>
          <w:p>
            <w:pPr>
              <w:rPr>
                <w:sz w:val="2"/>
                <w:szCs w:val="2"/>
              </w:rPr>
            </w:pPr>
          </w:p>
        </w:tc>
        <w:tc>
          <w:tcPr>
            <w:tcW w:w="2519" w:type="dxa"/>
            <w:tcBorders>
              <w:top w:val="nil"/>
              <w:bottom w:val="nil"/>
            </w:tcBorders>
          </w:tcPr>
          <w:p>
            <w:pPr>
              <w:pStyle w:val="TableParagraph"/>
              <w:spacing w:line="246" w:lineRule="exact"/>
              <w:ind w:left="57"/>
              <w:rPr>
                <w:sz w:val="24"/>
              </w:rPr>
            </w:pPr>
            <w:r>
              <w:rPr>
                <w:sz w:val="24"/>
              </w:rPr>
              <w:t>Estudiantes del</w:t>
            </w:r>
          </w:p>
        </w:tc>
      </w:tr>
      <w:tr>
        <w:trPr>
          <w:trHeight w:val="265" w:hRule="atLeast"/>
        </w:trPr>
        <w:tc>
          <w:tcPr>
            <w:tcW w:w="2518" w:type="dxa"/>
            <w:tcBorders>
              <w:top w:val="nil"/>
              <w:bottom w:val="nil"/>
            </w:tcBorders>
          </w:tcPr>
          <w:p>
            <w:pPr>
              <w:pStyle w:val="TableParagraph"/>
              <w:spacing w:line="246" w:lineRule="exact"/>
              <w:ind w:left="58"/>
              <w:rPr>
                <w:sz w:val="24"/>
              </w:rPr>
            </w:pPr>
            <w:r>
              <w:rPr>
                <w:sz w:val="24"/>
              </w:rPr>
              <w:t>Interfaz de datos</w:t>
            </w:r>
          </w:p>
        </w:tc>
        <w:tc>
          <w:tcPr>
            <w:tcW w:w="2518" w:type="dxa"/>
            <w:tcBorders>
              <w:top w:val="nil"/>
              <w:bottom w:val="nil"/>
            </w:tcBorders>
          </w:tcPr>
          <w:p>
            <w:pPr>
              <w:pStyle w:val="TableParagraph"/>
              <w:spacing w:line="246" w:lineRule="exact"/>
              <w:ind w:left="58"/>
              <w:rPr>
                <w:sz w:val="24"/>
              </w:rPr>
            </w:pPr>
            <w:r>
              <w:rPr>
                <w:sz w:val="24"/>
              </w:rPr>
              <w:t>matemáticas de los</w:t>
            </w:r>
          </w:p>
        </w:tc>
        <w:tc>
          <w:tcPr>
            <w:tcW w:w="2519" w:type="dxa"/>
            <w:vMerge/>
            <w:tcBorders>
              <w:top w:val="nil"/>
            </w:tcBorders>
          </w:tcPr>
          <w:p>
            <w:pPr>
              <w:rPr>
                <w:sz w:val="2"/>
                <w:szCs w:val="2"/>
              </w:rPr>
            </w:pPr>
          </w:p>
        </w:tc>
        <w:tc>
          <w:tcPr>
            <w:tcW w:w="2518" w:type="dxa"/>
            <w:vMerge/>
            <w:tcBorders>
              <w:top w:val="nil"/>
            </w:tcBorders>
          </w:tcPr>
          <w:p>
            <w:pPr>
              <w:rPr>
                <w:sz w:val="2"/>
                <w:szCs w:val="2"/>
              </w:rPr>
            </w:pPr>
          </w:p>
        </w:tc>
        <w:tc>
          <w:tcPr>
            <w:tcW w:w="2518" w:type="dxa"/>
            <w:vMerge/>
            <w:tcBorders>
              <w:top w:val="nil"/>
            </w:tcBorders>
          </w:tcPr>
          <w:p>
            <w:pPr>
              <w:rPr>
                <w:sz w:val="2"/>
                <w:szCs w:val="2"/>
              </w:rPr>
            </w:pPr>
          </w:p>
        </w:tc>
        <w:tc>
          <w:tcPr>
            <w:tcW w:w="2519" w:type="dxa"/>
            <w:tcBorders>
              <w:top w:val="nil"/>
              <w:bottom w:val="nil"/>
            </w:tcBorders>
          </w:tcPr>
          <w:p>
            <w:pPr>
              <w:pStyle w:val="TableParagraph"/>
              <w:spacing w:line="246" w:lineRule="exact"/>
              <w:ind w:left="57"/>
              <w:rPr>
                <w:sz w:val="24"/>
              </w:rPr>
            </w:pPr>
            <w:r>
              <w:rPr>
                <w:sz w:val="24"/>
              </w:rPr>
              <w:t>Inglés: 18.6 puntos</w:t>
            </w:r>
          </w:p>
        </w:tc>
      </w:tr>
      <w:tr>
        <w:trPr>
          <w:trHeight w:val="265" w:hRule="atLeast"/>
        </w:trPr>
        <w:tc>
          <w:tcPr>
            <w:tcW w:w="2518" w:type="dxa"/>
            <w:tcBorders>
              <w:top w:val="nil"/>
              <w:bottom w:val="nil"/>
            </w:tcBorders>
          </w:tcPr>
          <w:p>
            <w:pPr>
              <w:pStyle w:val="TableParagraph"/>
              <w:spacing w:line="246" w:lineRule="exact"/>
              <w:ind w:left="58"/>
              <w:rPr>
                <w:sz w:val="24"/>
              </w:rPr>
            </w:pPr>
            <w:r>
              <w:rPr>
                <w:sz w:val="24"/>
              </w:rPr>
              <w:t>escolares de</w:t>
            </w:r>
          </w:p>
        </w:tc>
        <w:tc>
          <w:tcPr>
            <w:tcW w:w="2518" w:type="dxa"/>
            <w:tcBorders>
              <w:top w:val="nil"/>
              <w:bottom w:val="nil"/>
            </w:tcBorders>
          </w:tcPr>
          <w:p>
            <w:pPr>
              <w:pStyle w:val="TableParagraph"/>
              <w:spacing w:line="246" w:lineRule="exact"/>
              <w:ind w:left="58"/>
              <w:rPr>
                <w:sz w:val="24"/>
              </w:rPr>
            </w:pPr>
            <w:r>
              <w:rPr>
                <w:sz w:val="24"/>
              </w:rPr>
              <w:t>Estudiantes del</w:t>
            </w:r>
          </w:p>
        </w:tc>
        <w:tc>
          <w:tcPr>
            <w:tcW w:w="2519" w:type="dxa"/>
            <w:vMerge/>
            <w:tcBorders>
              <w:top w:val="nil"/>
            </w:tcBorders>
          </w:tcPr>
          <w:p>
            <w:pPr>
              <w:rPr>
                <w:sz w:val="2"/>
                <w:szCs w:val="2"/>
              </w:rPr>
            </w:pPr>
          </w:p>
        </w:tc>
        <w:tc>
          <w:tcPr>
            <w:tcW w:w="2518" w:type="dxa"/>
            <w:vMerge/>
            <w:tcBorders>
              <w:top w:val="nil"/>
            </w:tcBorders>
          </w:tcPr>
          <w:p>
            <w:pPr>
              <w:rPr>
                <w:sz w:val="2"/>
                <w:szCs w:val="2"/>
              </w:rPr>
            </w:pPr>
          </w:p>
        </w:tc>
        <w:tc>
          <w:tcPr>
            <w:tcW w:w="2518" w:type="dxa"/>
            <w:vMerge/>
            <w:tcBorders>
              <w:top w:val="nil"/>
            </w:tcBorders>
          </w:tcPr>
          <w:p>
            <w:pPr>
              <w:rPr>
                <w:sz w:val="2"/>
                <w:szCs w:val="2"/>
              </w:rPr>
            </w:pPr>
          </w:p>
        </w:tc>
        <w:tc>
          <w:tcPr>
            <w:tcW w:w="2519" w:type="dxa"/>
            <w:tcBorders>
              <w:top w:val="nil"/>
              <w:bottom w:val="nil"/>
            </w:tcBorders>
          </w:tcPr>
          <w:p>
            <w:pPr>
              <w:pStyle w:val="TableParagraph"/>
              <w:spacing w:line="246" w:lineRule="exact"/>
              <w:ind w:left="57"/>
              <w:rPr>
                <w:sz w:val="24"/>
              </w:rPr>
            </w:pPr>
            <w:r>
              <w:rPr>
                <w:sz w:val="24"/>
              </w:rPr>
              <w:t>por debajo de la</w:t>
            </w:r>
          </w:p>
        </w:tc>
      </w:tr>
      <w:tr>
        <w:trPr>
          <w:trHeight w:val="265" w:hRule="atLeast"/>
        </w:trPr>
        <w:tc>
          <w:tcPr>
            <w:tcW w:w="2518" w:type="dxa"/>
            <w:tcBorders>
              <w:top w:val="nil"/>
              <w:bottom w:val="nil"/>
            </w:tcBorders>
          </w:tcPr>
          <w:p>
            <w:pPr>
              <w:pStyle w:val="TableParagraph"/>
              <w:spacing w:line="246" w:lineRule="exact"/>
              <w:ind w:left="58"/>
              <w:rPr>
                <w:sz w:val="24"/>
              </w:rPr>
            </w:pPr>
            <w:r>
              <w:rPr>
                <w:sz w:val="24"/>
              </w:rPr>
              <w:t>California para artes</w:t>
            </w:r>
          </w:p>
        </w:tc>
        <w:tc>
          <w:tcPr>
            <w:tcW w:w="2518" w:type="dxa"/>
            <w:tcBorders>
              <w:top w:val="nil"/>
              <w:bottom w:val="nil"/>
            </w:tcBorders>
          </w:tcPr>
          <w:p>
            <w:pPr>
              <w:pStyle w:val="TableParagraph"/>
              <w:spacing w:line="246" w:lineRule="exact"/>
              <w:ind w:left="58"/>
              <w:rPr>
                <w:sz w:val="24"/>
              </w:rPr>
            </w:pPr>
            <w:r>
              <w:rPr>
                <w:sz w:val="24"/>
              </w:rPr>
              <w:t>Inglés: 24.6 puntos</w:t>
            </w:r>
          </w:p>
        </w:tc>
        <w:tc>
          <w:tcPr>
            <w:tcW w:w="2519" w:type="dxa"/>
            <w:vMerge/>
            <w:tcBorders>
              <w:top w:val="nil"/>
            </w:tcBorders>
          </w:tcPr>
          <w:p>
            <w:pPr>
              <w:rPr>
                <w:sz w:val="2"/>
                <w:szCs w:val="2"/>
              </w:rPr>
            </w:pPr>
          </w:p>
        </w:tc>
        <w:tc>
          <w:tcPr>
            <w:tcW w:w="2518" w:type="dxa"/>
            <w:vMerge/>
            <w:tcBorders>
              <w:top w:val="nil"/>
            </w:tcBorders>
          </w:tcPr>
          <w:p>
            <w:pPr>
              <w:rPr>
                <w:sz w:val="2"/>
                <w:szCs w:val="2"/>
              </w:rPr>
            </w:pPr>
          </w:p>
        </w:tc>
        <w:tc>
          <w:tcPr>
            <w:tcW w:w="2518" w:type="dxa"/>
            <w:vMerge/>
            <w:tcBorders>
              <w:top w:val="nil"/>
            </w:tcBorders>
          </w:tcPr>
          <w:p>
            <w:pPr>
              <w:rPr>
                <w:sz w:val="2"/>
                <w:szCs w:val="2"/>
              </w:rPr>
            </w:pPr>
          </w:p>
        </w:tc>
        <w:tc>
          <w:tcPr>
            <w:tcW w:w="2519" w:type="dxa"/>
            <w:tcBorders>
              <w:top w:val="nil"/>
              <w:bottom w:val="nil"/>
            </w:tcBorders>
          </w:tcPr>
          <w:p>
            <w:pPr>
              <w:pStyle w:val="TableParagraph"/>
              <w:spacing w:line="246" w:lineRule="exact"/>
              <w:ind w:left="57"/>
              <w:rPr>
                <w:sz w:val="24"/>
              </w:rPr>
            </w:pPr>
            <w:r>
              <w:rPr>
                <w:sz w:val="24"/>
              </w:rPr>
              <w:t>norma</w:t>
            </w:r>
          </w:p>
        </w:tc>
      </w:tr>
      <w:tr>
        <w:trPr>
          <w:trHeight w:val="265" w:hRule="atLeast"/>
        </w:trPr>
        <w:tc>
          <w:tcPr>
            <w:tcW w:w="2518" w:type="dxa"/>
            <w:tcBorders>
              <w:top w:val="nil"/>
              <w:bottom w:val="nil"/>
            </w:tcBorders>
          </w:tcPr>
          <w:p>
            <w:pPr>
              <w:pStyle w:val="TableParagraph"/>
              <w:spacing w:line="246" w:lineRule="exact"/>
              <w:ind w:left="58"/>
              <w:rPr>
                <w:sz w:val="24"/>
              </w:rPr>
            </w:pPr>
            <w:r>
              <w:rPr>
                <w:sz w:val="24"/>
              </w:rPr>
              <w:t>lingüísticas en inglés</w:t>
            </w:r>
          </w:p>
        </w:tc>
        <w:tc>
          <w:tcPr>
            <w:tcW w:w="2518" w:type="dxa"/>
            <w:tcBorders>
              <w:top w:val="nil"/>
              <w:bottom w:val="nil"/>
            </w:tcBorders>
          </w:tcPr>
          <w:p>
            <w:pPr>
              <w:pStyle w:val="TableParagraph"/>
              <w:spacing w:line="246" w:lineRule="exact"/>
              <w:ind w:left="58"/>
              <w:rPr>
                <w:sz w:val="24"/>
              </w:rPr>
            </w:pPr>
            <w:r>
              <w:rPr>
                <w:sz w:val="24"/>
              </w:rPr>
              <w:t>por debajo de la</w:t>
            </w:r>
          </w:p>
        </w:tc>
        <w:tc>
          <w:tcPr>
            <w:tcW w:w="2519" w:type="dxa"/>
            <w:vMerge/>
            <w:tcBorders>
              <w:top w:val="nil"/>
            </w:tcBorders>
          </w:tcPr>
          <w:p>
            <w:pPr>
              <w:rPr>
                <w:sz w:val="2"/>
                <w:szCs w:val="2"/>
              </w:rPr>
            </w:pPr>
          </w:p>
        </w:tc>
        <w:tc>
          <w:tcPr>
            <w:tcW w:w="2518" w:type="dxa"/>
            <w:vMerge/>
            <w:tcBorders>
              <w:top w:val="nil"/>
            </w:tcBorders>
          </w:tcPr>
          <w:p>
            <w:pPr>
              <w:rPr>
                <w:sz w:val="2"/>
                <w:szCs w:val="2"/>
              </w:rPr>
            </w:pPr>
          </w:p>
        </w:tc>
        <w:tc>
          <w:tcPr>
            <w:tcW w:w="2518" w:type="dxa"/>
            <w:vMerge/>
            <w:tcBorders>
              <w:top w:val="nil"/>
            </w:tcBorders>
          </w:tcPr>
          <w:p>
            <w:pPr>
              <w:rPr>
                <w:sz w:val="2"/>
                <w:szCs w:val="2"/>
              </w:rPr>
            </w:pPr>
          </w:p>
        </w:tc>
        <w:tc>
          <w:tcPr>
            <w:tcW w:w="2519" w:type="dxa"/>
            <w:tcBorders>
              <w:top w:val="nil"/>
              <w:bottom w:val="nil"/>
            </w:tcBorders>
          </w:tcPr>
          <w:p>
            <w:pPr>
              <w:pStyle w:val="TableParagraph"/>
              <w:rPr>
                <w:rFonts w:ascii="Times New Roman"/>
                <w:sz w:val="18"/>
              </w:rPr>
            </w:pPr>
          </w:p>
        </w:tc>
      </w:tr>
      <w:tr>
        <w:trPr>
          <w:trHeight w:val="265" w:hRule="atLeast"/>
        </w:trPr>
        <w:tc>
          <w:tcPr>
            <w:tcW w:w="2518" w:type="dxa"/>
            <w:tcBorders>
              <w:top w:val="nil"/>
              <w:bottom w:val="nil"/>
            </w:tcBorders>
          </w:tcPr>
          <w:p>
            <w:pPr>
              <w:pStyle w:val="TableParagraph"/>
              <w:spacing w:line="246" w:lineRule="exact"/>
              <w:ind w:left="58"/>
              <w:rPr>
                <w:sz w:val="24"/>
              </w:rPr>
            </w:pPr>
            <w:r>
              <w:rPr>
                <w:sz w:val="24"/>
              </w:rPr>
              <w:t>(ELA, por sus siglas</w:t>
            </w:r>
          </w:p>
        </w:tc>
        <w:tc>
          <w:tcPr>
            <w:tcW w:w="2518" w:type="dxa"/>
            <w:tcBorders>
              <w:top w:val="nil"/>
              <w:bottom w:val="nil"/>
            </w:tcBorders>
          </w:tcPr>
          <w:p>
            <w:pPr>
              <w:pStyle w:val="TableParagraph"/>
              <w:spacing w:line="246" w:lineRule="exact"/>
              <w:ind w:left="58"/>
              <w:rPr>
                <w:sz w:val="24"/>
              </w:rPr>
            </w:pPr>
            <w:r>
              <w:rPr>
                <w:sz w:val="24"/>
              </w:rPr>
              <w:t>norma, aumentó 28.9</w:t>
            </w:r>
          </w:p>
        </w:tc>
        <w:tc>
          <w:tcPr>
            <w:tcW w:w="2519" w:type="dxa"/>
            <w:vMerge/>
            <w:tcBorders>
              <w:top w:val="nil"/>
            </w:tcBorders>
          </w:tcPr>
          <w:p>
            <w:pPr>
              <w:rPr>
                <w:sz w:val="2"/>
                <w:szCs w:val="2"/>
              </w:rPr>
            </w:pPr>
          </w:p>
        </w:tc>
        <w:tc>
          <w:tcPr>
            <w:tcW w:w="2518" w:type="dxa"/>
            <w:vMerge/>
            <w:tcBorders>
              <w:top w:val="nil"/>
            </w:tcBorders>
          </w:tcPr>
          <w:p>
            <w:pPr>
              <w:rPr>
                <w:sz w:val="2"/>
                <w:szCs w:val="2"/>
              </w:rPr>
            </w:pPr>
          </w:p>
        </w:tc>
        <w:tc>
          <w:tcPr>
            <w:tcW w:w="2518" w:type="dxa"/>
            <w:vMerge/>
            <w:tcBorders>
              <w:top w:val="nil"/>
            </w:tcBorders>
          </w:tcPr>
          <w:p>
            <w:pPr>
              <w:rPr>
                <w:sz w:val="2"/>
                <w:szCs w:val="2"/>
              </w:rPr>
            </w:pPr>
          </w:p>
        </w:tc>
        <w:tc>
          <w:tcPr>
            <w:tcW w:w="2519" w:type="dxa"/>
            <w:tcBorders>
              <w:top w:val="nil"/>
              <w:bottom w:val="nil"/>
            </w:tcBorders>
          </w:tcPr>
          <w:p>
            <w:pPr>
              <w:pStyle w:val="TableParagraph"/>
              <w:rPr>
                <w:rFonts w:ascii="Times New Roman"/>
                <w:sz w:val="18"/>
              </w:rPr>
            </w:pPr>
          </w:p>
        </w:tc>
      </w:tr>
      <w:tr>
        <w:trPr>
          <w:trHeight w:val="601" w:hRule="atLeast"/>
        </w:trPr>
        <w:tc>
          <w:tcPr>
            <w:tcW w:w="2518" w:type="dxa"/>
            <w:tcBorders>
              <w:top w:val="nil"/>
            </w:tcBorders>
          </w:tcPr>
          <w:p>
            <w:pPr>
              <w:pStyle w:val="TableParagraph"/>
              <w:spacing w:line="263" w:lineRule="exact"/>
              <w:ind w:left="58"/>
              <w:rPr>
                <w:sz w:val="24"/>
              </w:rPr>
            </w:pPr>
            <w:r>
              <w:rPr>
                <w:sz w:val="24"/>
              </w:rPr>
              <w:t>en inglés)</w:t>
            </w:r>
          </w:p>
        </w:tc>
        <w:tc>
          <w:tcPr>
            <w:tcW w:w="2518" w:type="dxa"/>
            <w:tcBorders>
              <w:top w:val="nil"/>
            </w:tcBorders>
          </w:tcPr>
          <w:p>
            <w:pPr>
              <w:pStyle w:val="TableParagraph"/>
              <w:spacing w:line="263" w:lineRule="exact"/>
              <w:ind w:left="58"/>
              <w:rPr>
                <w:sz w:val="24"/>
              </w:rPr>
            </w:pPr>
            <w:r>
              <w:rPr>
                <w:sz w:val="24"/>
              </w:rPr>
              <w:t>puntos</w:t>
            </w:r>
          </w:p>
        </w:tc>
        <w:tc>
          <w:tcPr>
            <w:tcW w:w="2519" w:type="dxa"/>
            <w:vMerge/>
            <w:tcBorders>
              <w:top w:val="nil"/>
            </w:tcBorders>
          </w:tcPr>
          <w:p>
            <w:pPr>
              <w:rPr>
                <w:sz w:val="2"/>
                <w:szCs w:val="2"/>
              </w:rPr>
            </w:pPr>
          </w:p>
        </w:tc>
        <w:tc>
          <w:tcPr>
            <w:tcW w:w="2518" w:type="dxa"/>
            <w:vMerge/>
            <w:tcBorders>
              <w:top w:val="nil"/>
            </w:tcBorders>
          </w:tcPr>
          <w:p>
            <w:pPr>
              <w:rPr>
                <w:sz w:val="2"/>
                <w:szCs w:val="2"/>
              </w:rPr>
            </w:pPr>
          </w:p>
        </w:tc>
        <w:tc>
          <w:tcPr>
            <w:tcW w:w="2518" w:type="dxa"/>
            <w:vMerge/>
            <w:tcBorders>
              <w:top w:val="nil"/>
            </w:tcBorders>
          </w:tcPr>
          <w:p>
            <w:pPr>
              <w:rPr>
                <w:sz w:val="2"/>
                <w:szCs w:val="2"/>
              </w:rPr>
            </w:pPr>
          </w:p>
        </w:tc>
        <w:tc>
          <w:tcPr>
            <w:tcW w:w="2519" w:type="dxa"/>
            <w:tcBorders>
              <w:top w:val="nil"/>
            </w:tcBorders>
          </w:tcPr>
          <w:p>
            <w:pPr>
              <w:pStyle w:val="TableParagraph"/>
              <w:rPr>
                <w:rFonts w:ascii="Times New Roman"/>
                <w:sz w:val="22"/>
              </w:rPr>
            </w:pPr>
          </w:p>
        </w:tc>
      </w:tr>
      <w:tr>
        <w:trPr>
          <w:trHeight w:val="332" w:hRule="atLeast"/>
        </w:trPr>
        <w:tc>
          <w:tcPr>
            <w:tcW w:w="2518" w:type="dxa"/>
            <w:tcBorders>
              <w:bottom w:val="nil"/>
            </w:tcBorders>
          </w:tcPr>
          <w:p>
            <w:pPr>
              <w:pStyle w:val="TableParagraph"/>
              <w:spacing w:line="259" w:lineRule="exact" w:before="54"/>
              <w:ind w:left="58"/>
              <w:rPr>
                <w:sz w:val="24"/>
              </w:rPr>
            </w:pPr>
            <w:r>
              <w:rPr>
                <w:sz w:val="24"/>
              </w:rPr>
              <w:t>Prioridad 3a de la</w:t>
            </w:r>
          </w:p>
        </w:tc>
        <w:tc>
          <w:tcPr>
            <w:tcW w:w="2518" w:type="dxa"/>
            <w:tcBorders>
              <w:bottom w:val="nil"/>
            </w:tcBorders>
          </w:tcPr>
          <w:p>
            <w:pPr>
              <w:pStyle w:val="TableParagraph"/>
              <w:spacing w:line="259" w:lineRule="exact" w:before="54"/>
              <w:ind w:left="58"/>
              <w:rPr>
                <w:sz w:val="24"/>
              </w:rPr>
            </w:pPr>
            <w:r>
              <w:rPr>
                <w:sz w:val="24"/>
              </w:rPr>
              <w:t>Implementación inicial</w:t>
            </w:r>
          </w:p>
        </w:tc>
        <w:tc>
          <w:tcPr>
            <w:tcW w:w="2519" w:type="dxa"/>
            <w:vMerge w:val="restart"/>
          </w:tcPr>
          <w:p>
            <w:pPr>
              <w:pStyle w:val="TableParagraph"/>
              <w:rPr>
                <w:rFonts w:ascii="Times New Roman"/>
                <w:sz w:val="22"/>
              </w:rPr>
            </w:pPr>
          </w:p>
        </w:tc>
        <w:tc>
          <w:tcPr>
            <w:tcW w:w="2518" w:type="dxa"/>
            <w:vMerge w:val="restart"/>
          </w:tcPr>
          <w:p>
            <w:pPr>
              <w:pStyle w:val="TableParagraph"/>
              <w:rPr>
                <w:rFonts w:ascii="Times New Roman"/>
                <w:sz w:val="22"/>
              </w:rPr>
            </w:pPr>
          </w:p>
        </w:tc>
        <w:tc>
          <w:tcPr>
            <w:tcW w:w="2518" w:type="dxa"/>
            <w:vMerge w:val="restart"/>
          </w:tcPr>
          <w:p>
            <w:pPr>
              <w:pStyle w:val="TableParagraph"/>
              <w:rPr>
                <w:rFonts w:ascii="Times New Roman"/>
                <w:sz w:val="22"/>
              </w:rPr>
            </w:pPr>
          </w:p>
        </w:tc>
        <w:tc>
          <w:tcPr>
            <w:tcW w:w="2519" w:type="dxa"/>
            <w:tcBorders>
              <w:bottom w:val="nil"/>
            </w:tcBorders>
          </w:tcPr>
          <w:p>
            <w:pPr>
              <w:pStyle w:val="TableParagraph"/>
              <w:spacing w:line="259" w:lineRule="exact" w:before="54"/>
              <w:ind w:left="57"/>
              <w:rPr>
                <w:sz w:val="24"/>
              </w:rPr>
            </w:pPr>
            <w:r>
              <w:rPr>
                <w:sz w:val="24"/>
              </w:rPr>
              <w:t>Implementación total y</w:t>
            </w:r>
          </w:p>
        </w:tc>
      </w:tr>
      <w:tr>
        <w:trPr>
          <w:trHeight w:val="265" w:hRule="atLeast"/>
        </w:trPr>
        <w:tc>
          <w:tcPr>
            <w:tcW w:w="2518" w:type="dxa"/>
            <w:tcBorders>
              <w:top w:val="nil"/>
              <w:bottom w:val="nil"/>
            </w:tcBorders>
          </w:tcPr>
          <w:p>
            <w:pPr>
              <w:pStyle w:val="TableParagraph"/>
              <w:spacing w:line="246" w:lineRule="exact"/>
              <w:ind w:left="58"/>
              <w:rPr>
                <w:sz w:val="24"/>
              </w:rPr>
            </w:pPr>
            <w:r>
              <w:rPr>
                <w:sz w:val="24"/>
              </w:rPr>
              <w:t>Fórmula de</w:t>
            </w:r>
          </w:p>
        </w:tc>
        <w:tc>
          <w:tcPr>
            <w:tcW w:w="2518" w:type="dxa"/>
            <w:tcBorders>
              <w:top w:val="nil"/>
              <w:bottom w:val="nil"/>
            </w:tcBorders>
          </w:tcPr>
          <w:p>
            <w:pPr>
              <w:pStyle w:val="TableParagraph"/>
              <w:spacing w:line="246" w:lineRule="exact"/>
              <w:ind w:left="58"/>
              <w:rPr>
                <w:sz w:val="24"/>
              </w:rPr>
            </w:pPr>
            <w:r>
              <w:rPr>
                <w:sz w:val="24"/>
              </w:rPr>
              <w:t>(3)</w:t>
            </w:r>
          </w:p>
        </w:tc>
        <w:tc>
          <w:tcPr>
            <w:tcW w:w="2519" w:type="dxa"/>
            <w:vMerge/>
            <w:tcBorders>
              <w:top w:val="nil"/>
            </w:tcBorders>
          </w:tcPr>
          <w:p>
            <w:pPr>
              <w:rPr>
                <w:sz w:val="2"/>
                <w:szCs w:val="2"/>
              </w:rPr>
            </w:pPr>
          </w:p>
        </w:tc>
        <w:tc>
          <w:tcPr>
            <w:tcW w:w="2518" w:type="dxa"/>
            <w:vMerge/>
            <w:tcBorders>
              <w:top w:val="nil"/>
            </w:tcBorders>
          </w:tcPr>
          <w:p>
            <w:pPr>
              <w:rPr>
                <w:sz w:val="2"/>
                <w:szCs w:val="2"/>
              </w:rPr>
            </w:pPr>
          </w:p>
        </w:tc>
        <w:tc>
          <w:tcPr>
            <w:tcW w:w="2518" w:type="dxa"/>
            <w:vMerge/>
            <w:tcBorders>
              <w:top w:val="nil"/>
            </w:tcBorders>
          </w:tcPr>
          <w:p>
            <w:pPr>
              <w:rPr>
                <w:sz w:val="2"/>
                <w:szCs w:val="2"/>
              </w:rPr>
            </w:pPr>
          </w:p>
        </w:tc>
        <w:tc>
          <w:tcPr>
            <w:tcW w:w="2519" w:type="dxa"/>
            <w:tcBorders>
              <w:top w:val="nil"/>
              <w:bottom w:val="nil"/>
            </w:tcBorders>
          </w:tcPr>
          <w:p>
            <w:pPr>
              <w:pStyle w:val="TableParagraph"/>
              <w:spacing w:line="246" w:lineRule="exact"/>
              <w:ind w:left="57"/>
              <w:rPr>
                <w:sz w:val="24"/>
              </w:rPr>
            </w:pPr>
            <w:r>
              <w:rPr>
                <w:sz w:val="24"/>
              </w:rPr>
              <w:t>sostenibilidad (5)</w:t>
            </w:r>
          </w:p>
        </w:tc>
      </w:tr>
      <w:tr>
        <w:trPr>
          <w:trHeight w:val="265" w:hRule="atLeast"/>
        </w:trPr>
        <w:tc>
          <w:tcPr>
            <w:tcW w:w="2518" w:type="dxa"/>
            <w:tcBorders>
              <w:top w:val="nil"/>
              <w:bottom w:val="nil"/>
            </w:tcBorders>
          </w:tcPr>
          <w:p>
            <w:pPr>
              <w:pStyle w:val="TableParagraph"/>
              <w:spacing w:line="246" w:lineRule="exact"/>
              <w:ind w:left="58"/>
              <w:rPr>
                <w:sz w:val="24"/>
              </w:rPr>
            </w:pPr>
            <w:r>
              <w:rPr>
                <w:sz w:val="24"/>
              </w:rPr>
              <w:t>Financiamiento y</w:t>
            </w:r>
          </w:p>
        </w:tc>
        <w:tc>
          <w:tcPr>
            <w:tcW w:w="2518" w:type="dxa"/>
            <w:tcBorders>
              <w:top w:val="nil"/>
              <w:bottom w:val="nil"/>
            </w:tcBorders>
          </w:tcPr>
          <w:p>
            <w:pPr>
              <w:pStyle w:val="TableParagraph"/>
              <w:spacing w:line="246" w:lineRule="exact"/>
              <w:ind w:left="58"/>
              <w:rPr>
                <w:sz w:val="24"/>
              </w:rPr>
            </w:pPr>
            <w:r>
              <w:rPr>
                <w:sz w:val="24"/>
              </w:rPr>
              <w:t>Padres: 73%</w:t>
            </w:r>
          </w:p>
        </w:tc>
        <w:tc>
          <w:tcPr>
            <w:tcW w:w="2519" w:type="dxa"/>
            <w:vMerge/>
            <w:tcBorders>
              <w:top w:val="nil"/>
            </w:tcBorders>
          </w:tcPr>
          <w:p>
            <w:pPr>
              <w:rPr>
                <w:sz w:val="2"/>
                <w:szCs w:val="2"/>
              </w:rPr>
            </w:pPr>
          </w:p>
        </w:tc>
        <w:tc>
          <w:tcPr>
            <w:tcW w:w="2518" w:type="dxa"/>
            <w:vMerge/>
            <w:tcBorders>
              <w:top w:val="nil"/>
            </w:tcBorders>
          </w:tcPr>
          <w:p>
            <w:pPr>
              <w:rPr>
                <w:sz w:val="2"/>
                <w:szCs w:val="2"/>
              </w:rPr>
            </w:pPr>
          </w:p>
        </w:tc>
        <w:tc>
          <w:tcPr>
            <w:tcW w:w="2518" w:type="dxa"/>
            <w:vMerge/>
            <w:tcBorders>
              <w:top w:val="nil"/>
            </w:tcBorders>
          </w:tcPr>
          <w:p>
            <w:pPr>
              <w:rPr>
                <w:sz w:val="2"/>
                <w:szCs w:val="2"/>
              </w:rPr>
            </w:pPr>
          </w:p>
        </w:tc>
        <w:tc>
          <w:tcPr>
            <w:tcW w:w="2519" w:type="dxa"/>
            <w:tcBorders>
              <w:top w:val="nil"/>
              <w:bottom w:val="nil"/>
            </w:tcBorders>
          </w:tcPr>
          <w:p>
            <w:pPr>
              <w:pStyle w:val="TableParagraph"/>
              <w:rPr>
                <w:rFonts w:ascii="Times New Roman"/>
                <w:sz w:val="18"/>
              </w:rPr>
            </w:pPr>
          </w:p>
        </w:tc>
      </w:tr>
      <w:tr>
        <w:trPr>
          <w:trHeight w:val="265" w:hRule="atLeast"/>
        </w:trPr>
        <w:tc>
          <w:tcPr>
            <w:tcW w:w="2518" w:type="dxa"/>
            <w:tcBorders>
              <w:top w:val="nil"/>
              <w:bottom w:val="nil"/>
            </w:tcBorders>
          </w:tcPr>
          <w:p>
            <w:pPr>
              <w:pStyle w:val="TableParagraph"/>
              <w:spacing w:line="246" w:lineRule="exact"/>
              <w:ind w:left="58"/>
              <w:rPr>
                <w:sz w:val="24"/>
              </w:rPr>
            </w:pPr>
            <w:r>
              <w:rPr>
                <w:sz w:val="24"/>
              </w:rPr>
              <w:t>Control Local (LCFF,</w:t>
            </w:r>
          </w:p>
        </w:tc>
        <w:tc>
          <w:tcPr>
            <w:tcW w:w="2518" w:type="dxa"/>
            <w:tcBorders>
              <w:top w:val="nil"/>
              <w:bottom w:val="nil"/>
            </w:tcBorders>
          </w:tcPr>
          <w:p>
            <w:pPr>
              <w:pStyle w:val="TableParagraph"/>
              <w:rPr>
                <w:rFonts w:ascii="Times New Roman"/>
                <w:sz w:val="18"/>
              </w:rPr>
            </w:pPr>
          </w:p>
        </w:tc>
        <w:tc>
          <w:tcPr>
            <w:tcW w:w="2519" w:type="dxa"/>
            <w:vMerge/>
            <w:tcBorders>
              <w:top w:val="nil"/>
            </w:tcBorders>
          </w:tcPr>
          <w:p>
            <w:pPr>
              <w:rPr>
                <w:sz w:val="2"/>
                <w:szCs w:val="2"/>
              </w:rPr>
            </w:pPr>
          </w:p>
        </w:tc>
        <w:tc>
          <w:tcPr>
            <w:tcW w:w="2518" w:type="dxa"/>
            <w:vMerge/>
            <w:tcBorders>
              <w:top w:val="nil"/>
            </w:tcBorders>
          </w:tcPr>
          <w:p>
            <w:pPr>
              <w:rPr>
                <w:sz w:val="2"/>
                <w:szCs w:val="2"/>
              </w:rPr>
            </w:pPr>
          </w:p>
        </w:tc>
        <w:tc>
          <w:tcPr>
            <w:tcW w:w="2518" w:type="dxa"/>
            <w:vMerge/>
            <w:tcBorders>
              <w:top w:val="nil"/>
            </w:tcBorders>
          </w:tcPr>
          <w:p>
            <w:pPr>
              <w:rPr>
                <w:sz w:val="2"/>
                <w:szCs w:val="2"/>
              </w:rPr>
            </w:pPr>
          </w:p>
        </w:tc>
        <w:tc>
          <w:tcPr>
            <w:tcW w:w="2519" w:type="dxa"/>
            <w:tcBorders>
              <w:top w:val="nil"/>
              <w:bottom w:val="nil"/>
            </w:tcBorders>
          </w:tcPr>
          <w:p>
            <w:pPr>
              <w:pStyle w:val="TableParagraph"/>
              <w:rPr>
                <w:rFonts w:ascii="Times New Roman"/>
                <w:sz w:val="18"/>
              </w:rPr>
            </w:pPr>
          </w:p>
        </w:tc>
      </w:tr>
      <w:tr>
        <w:trPr>
          <w:trHeight w:val="265" w:hRule="atLeast"/>
        </w:trPr>
        <w:tc>
          <w:tcPr>
            <w:tcW w:w="2518" w:type="dxa"/>
            <w:tcBorders>
              <w:top w:val="nil"/>
              <w:bottom w:val="nil"/>
            </w:tcBorders>
          </w:tcPr>
          <w:p>
            <w:pPr>
              <w:pStyle w:val="TableParagraph"/>
              <w:spacing w:line="246" w:lineRule="exact"/>
              <w:ind w:left="58"/>
              <w:rPr>
                <w:sz w:val="24"/>
              </w:rPr>
            </w:pPr>
            <w:r>
              <w:rPr>
                <w:sz w:val="24"/>
              </w:rPr>
              <w:t>por sus siglas en</w:t>
            </w:r>
          </w:p>
        </w:tc>
        <w:tc>
          <w:tcPr>
            <w:tcW w:w="2518" w:type="dxa"/>
            <w:tcBorders>
              <w:top w:val="nil"/>
              <w:bottom w:val="nil"/>
            </w:tcBorders>
          </w:tcPr>
          <w:p>
            <w:pPr>
              <w:pStyle w:val="TableParagraph"/>
              <w:rPr>
                <w:rFonts w:ascii="Times New Roman"/>
                <w:sz w:val="18"/>
              </w:rPr>
            </w:pPr>
          </w:p>
        </w:tc>
        <w:tc>
          <w:tcPr>
            <w:tcW w:w="2519" w:type="dxa"/>
            <w:vMerge/>
            <w:tcBorders>
              <w:top w:val="nil"/>
            </w:tcBorders>
          </w:tcPr>
          <w:p>
            <w:pPr>
              <w:rPr>
                <w:sz w:val="2"/>
                <w:szCs w:val="2"/>
              </w:rPr>
            </w:pPr>
          </w:p>
        </w:tc>
        <w:tc>
          <w:tcPr>
            <w:tcW w:w="2518" w:type="dxa"/>
            <w:vMerge/>
            <w:tcBorders>
              <w:top w:val="nil"/>
            </w:tcBorders>
          </w:tcPr>
          <w:p>
            <w:pPr>
              <w:rPr>
                <w:sz w:val="2"/>
                <w:szCs w:val="2"/>
              </w:rPr>
            </w:pPr>
          </w:p>
        </w:tc>
        <w:tc>
          <w:tcPr>
            <w:tcW w:w="2518" w:type="dxa"/>
            <w:vMerge/>
            <w:tcBorders>
              <w:top w:val="nil"/>
            </w:tcBorders>
          </w:tcPr>
          <w:p>
            <w:pPr>
              <w:rPr>
                <w:sz w:val="2"/>
                <w:szCs w:val="2"/>
              </w:rPr>
            </w:pPr>
          </w:p>
        </w:tc>
        <w:tc>
          <w:tcPr>
            <w:tcW w:w="2519" w:type="dxa"/>
            <w:tcBorders>
              <w:top w:val="nil"/>
              <w:bottom w:val="nil"/>
            </w:tcBorders>
          </w:tcPr>
          <w:p>
            <w:pPr>
              <w:pStyle w:val="TableParagraph"/>
              <w:rPr>
                <w:rFonts w:ascii="Times New Roman"/>
                <w:sz w:val="18"/>
              </w:rPr>
            </w:pPr>
          </w:p>
        </w:tc>
      </w:tr>
      <w:tr>
        <w:trPr>
          <w:trHeight w:val="265" w:hRule="atLeast"/>
        </w:trPr>
        <w:tc>
          <w:tcPr>
            <w:tcW w:w="2518" w:type="dxa"/>
            <w:tcBorders>
              <w:top w:val="nil"/>
              <w:bottom w:val="nil"/>
            </w:tcBorders>
          </w:tcPr>
          <w:p>
            <w:pPr>
              <w:pStyle w:val="TableParagraph"/>
              <w:spacing w:line="246" w:lineRule="exact"/>
              <w:ind w:left="58"/>
              <w:rPr>
                <w:sz w:val="24"/>
              </w:rPr>
            </w:pPr>
            <w:r>
              <w:rPr>
                <w:sz w:val="24"/>
              </w:rPr>
              <w:t>inglés): Sugerencias</w:t>
            </w:r>
          </w:p>
        </w:tc>
        <w:tc>
          <w:tcPr>
            <w:tcW w:w="2518" w:type="dxa"/>
            <w:tcBorders>
              <w:top w:val="nil"/>
              <w:bottom w:val="nil"/>
            </w:tcBorders>
          </w:tcPr>
          <w:p>
            <w:pPr>
              <w:pStyle w:val="TableParagraph"/>
              <w:rPr>
                <w:rFonts w:ascii="Times New Roman"/>
                <w:sz w:val="18"/>
              </w:rPr>
            </w:pPr>
          </w:p>
        </w:tc>
        <w:tc>
          <w:tcPr>
            <w:tcW w:w="2519" w:type="dxa"/>
            <w:vMerge/>
            <w:tcBorders>
              <w:top w:val="nil"/>
            </w:tcBorders>
          </w:tcPr>
          <w:p>
            <w:pPr>
              <w:rPr>
                <w:sz w:val="2"/>
                <w:szCs w:val="2"/>
              </w:rPr>
            </w:pPr>
          </w:p>
        </w:tc>
        <w:tc>
          <w:tcPr>
            <w:tcW w:w="2518" w:type="dxa"/>
            <w:vMerge/>
            <w:tcBorders>
              <w:top w:val="nil"/>
            </w:tcBorders>
          </w:tcPr>
          <w:p>
            <w:pPr>
              <w:rPr>
                <w:sz w:val="2"/>
                <w:szCs w:val="2"/>
              </w:rPr>
            </w:pPr>
          </w:p>
        </w:tc>
        <w:tc>
          <w:tcPr>
            <w:tcW w:w="2518" w:type="dxa"/>
            <w:vMerge/>
            <w:tcBorders>
              <w:top w:val="nil"/>
            </w:tcBorders>
          </w:tcPr>
          <w:p>
            <w:pPr>
              <w:rPr>
                <w:sz w:val="2"/>
                <w:szCs w:val="2"/>
              </w:rPr>
            </w:pPr>
          </w:p>
        </w:tc>
        <w:tc>
          <w:tcPr>
            <w:tcW w:w="2519" w:type="dxa"/>
            <w:tcBorders>
              <w:top w:val="nil"/>
              <w:bottom w:val="nil"/>
            </w:tcBorders>
          </w:tcPr>
          <w:p>
            <w:pPr>
              <w:pStyle w:val="TableParagraph"/>
              <w:rPr>
                <w:rFonts w:ascii="Times New Roman"/>
                <w:sz w:val="18"/>
              </w:rPr>
            </w:pPr>
          </w:p>
        </w:tc>
      </w:tr>
      <w:tr>
        <w:trPr>
          <w:trHeight w:val="265" w:hRule="atLeast"/>
        </w:trPr>
        <w:tc>
          <w:tcPr>
            <w:tcW w:w="2518" w:type="dxa"/>
            <w:tcBorders>
              <w:top w:val="nil"/>
              <w:bottom w:val="nil"/>
            </w:tcBorders>
          </w:tcPr>
          <w:p>
            <w:pPr>
              <w:pStyle w:val="TableParagraph"/>
              <w:spacing w:line="246" w:lineRule="exact"/>
              <w:ind w:left="58"/>
              <w:rPr>
                <w:sz w:val="24"/>
              </w:rPr>
            </w:pPr>
            <w:r>
              <w:rPr>
                <w:sz w:val="24"/>
              </w:rPr>
              <w:t>de los Padres en la</w:t>
            </w:r>
          </w:p>
        </w:tc>
        <w:tc>
          <w:tcPr>
            <w:tcW w:w="2518" w:type="dxa"/>
            <w:tcBorders>
              <w:top w:val="nil"/>
              <w:bottom w:val="nil"/>
            </w:tcBorders>
          </w:tcPr>
          <w:p>
            <w:pPr>
              <w:pStyle w:val="TableParagraph"/>
              <w:rPr>
                <w:rFonts w:ascii="Times New Roman"/>
                <w:sz w:val="18"/>
              </w:rPr>
            </w:pPr>
          </w:p>
        </w:tc>
        <w:tc>
          <w:tcPr>
            <w:tcW w:w="2519" w:type="dxa"/>
            <w:vMerge/>
            <w:tcBorders>
              <w:top w:val="nil"/>
            </w:tcBorders>
          </w:tcPr>
          <w:p>
            <w:pPr>
              <w:rPr>
                <w:sz w:val="2"/>
                <w:szCs w:val="2"/>
              </w:rPr>
            </w:pPr>
          </w:p>
        </w:tc>
        <w:tc>
          <w:tcPr>
            <w:tcW w:w="2518" w:type="dxa"/>
            <w:vMerge/>
            <w:tcBorders>
              <w:top w:val="nil"/>
            </w:tcBorders>
          </w:tcPr>
          <w:p>
            <w:pPr>
              <w:rPr>
                <w:sz w:val="2"/>
                <w:szCs w:val="2"/>
              </w:rPr>
            </w:pPr>
          </w:p>
        </w:tc>
        <w:tc>
          <w:tcPr>
            <w:tcW w:w="2518" w:type="dxa"/>
            <w:vMerge/>
            <w:tcBorders>
              <w:top w:val="nil"/>
            </w:tcBorders>
          </w:tcPr>
          <w:p>
            <w:pPr>
              <w:rPr>
                <w:sz w:val="2"/>
                <w:szCs w:val="2"/>
              </w:rPr>
            </w:pPr>
          </w:p>
        </w:tc>
        <w:tc>
          <w:tcPr>
            <w:tcW w:w="2519" w:type="dxa"/>
            <w:tcBorders>
              <w:top w:val="nil"/>
              <w:bottom w:val="nil"/>
            </w:tcBorders>
          </w:tcPr>
          <w:p>
            <w:pPr>
              <w:pStyle w:val="TableParagraph"/>
              <w:rPr>
                <w:rFonts w:ascii="Times New Roman"/>
                <w:sz w:val="18"/>
              </w:rPr>
            </w:pPr>
          </w:p>
        </w:tc>
      </w:tr>
      <w:tr>
        <w:trPr>
          <w:trHeight w:val="265" w:hRule="atLeast"/>
        </w:trPr>
        <w:tc>
          <w:tcPr>
            <w:tcW w:w="2518" w:type="dxa"/>
            <w:tcBorders>
              <w:top w:val="nil"/>
              <w:bottom w:val="nil"/>
            </w:tcBorders>
          </w:tcPr>
          <w:p>
            <w:pPr>
              <w:pStyle w:val="TableParagraph"/>
              <w:spacing w:line="246" w:lineRule="exact"/>
              <w:ind w:left="58"/>
              <w:rPr>
                <w:sz w:val="24"/>
              </w:rPr>
            </w:pPr>
            <w:r>
              <w:rPr>
                <w:sz w:val="24"/>
              </w:rPr>
              <w:t>toma de deciciones</w:t>
            </w:r>
          </w:p>
        </w:tc>
        <w:tc>
          <w:tcPr>
            <w:tcW w:w="2518" w:type="dxa"/>
            <w:tcBorders>
              <w:top w:val="nil"/>
              <w:bottom w:val="nil"/>
            </w:tcBorders>
          </w:tcPr>
          <w:p>
            <w:pPr>
              <w:pStyle w:val="TableParagraph"/>
              <w:rPr>
                <w:rFonts w:ascii="Times New Roman"/>
                <w:sz w:val="18"/>
              </w:rPr>
            </w:pPr>
          </w:p>
        </w:tc>
        <w:tc>
          <w:tcPr>
            <w:tcW w:w="2519" w:type="dxa"/>
            <w:vMerge/>
            <w:tcBorders>
              <w:top w:val="nil"/>
            </w:tcBorders>
          </w:tcPr>
          <w:p>
            <w:pPr>
              <w:rPr>
                <w:sz w:val="2"/>
                <w:szCs w:val="2"/>
              </w:rPr>
            </w:pPr>
          </w:p>
        </w:tc>
        <w:tc>
          <w:tcPr>
            <w:tcW w:w="2518" w:type="dxa"/>
            <w:vMerge/>
            <w:tcBorders>
              <w:top w:val="nil"/>
            </w:tcBorders>
          </w:tcPr>
          <w:p>
            <w:pPr>
              <w:rPr>
                <w:sz w:val="2"/>
                <w:szCs w:val="2"/>
              </w:rPr>
            </w:pPr>
          </w:p>
        </w:tc>
        <w:tc>
          <w:tcPr>
            <w:tcW w:w="2518" w:type="dxa"/>
            <w:vMerge/>
            <w:tcBorders>
              <w:top w:val="nil"/>
            </w:tcBorders>
          </w:tcPr>
          <w:p>
            <w:pPr>
              <w:rPr>
                <w:sz w:val="2"/>
                <w:szCs w:val="2"/>
              </w:rPr>
            </w:pPr>
          </w:p>
        </w:tc>
        <w:tc>
          <w:tcPr>
            <w:tcW w:w="2519" w:type="dxa"/>
            <w:tcBorders>
              <w:top w:val="nil"/>
              <w:bottom w:val="nil"/>
            </w:tcBorders>
          </w:tcPr>
          <w:p>
            <w:pPr>
              <w:pStyle w:val="TableParagraph"/>
              <w:rPr>
                <w:rFonts w:ascii="Times New Roman"/>
                <w:sz w:val="18"/>
              </w:rPr>
            </w:pPr>
          </w:p>
        </w:tc>
      </w:tr>
      <w:tr>
        <w:trPr>
          <w:trHeight w:val="265" w:hRule="atLeast"/>
        </w:trPr>
        <w:tc>
          <w:tcPr>
            <w:tcW w:w="2518" w:type="dxa"/>
            <w:tcBorders>
              <w:top w:val="nil"/>
              <w:bottom w:val="nil"/>
            </w:tcBorders>
          </w:tcPr>
          <w:p>
            <w:pPr>
              <w:pStyle w:val="TableParagraph"/>
              <w:spacing w:line="246" w:lineRule="exact"/>
              <w:ind w:left="58"/>
              <w:rPr>
                <w:sz w:val="24"/>
              </w:rPr>
            </w:pPr>
            <w:r>
              <w:rPr>
                <w:sz w:val="24"/>
              </w:rPr>
              <w:t>Fuente: Herramienta</w:t>
            </w:r>
          </w:p>
        </w:tc>
        <w:tc>
          <w:tcPr>
            <w:tcW w:w="2518" w:type="dxa"/>
            <w:tcBorders>
              <w:top w:val="nil"/>
              <w:bottom w:val="nil"/>
            </w:tcBorders>
          </w:tcPr>
          <w:p>
            <w:pPr>
              <w:pStyle w:val="TableParagraph"/>
              <w:rPr>
                <w:rFonts w:ascii="Times New Roman"/>
                <w:sz w:val="18"/>
              </w:rPr>
            </w:pPr>
          </w:p>
        </w:tc>
        <w:tc>
          <w:tcPr>
            <w:tcW w:w="2519" w:type="dxa"/>
            <w:vMerge/>
            <w:tcBorders>
              <w:top w:val="nil"/>
            </w:tcBorders>
          </w:tcPr>
          <w:p>
            <w:pPr>
              <w:rPr>
                <w:sz w:val="2"/>
                <w:szCs w:val="2"/>
              </w:rPr>
            </w:pPr>
          </w:p>
        </w:tc>
        <w:tc>
          <w:tcPr>
            <w:tcW w:w="2518" w:type="dxa"/>
            <w:vMerge/>
            <w:tcBorders>
              <w:top w:val="nil"/>
            </w:tcBorders>
          </w:tcPr>
          <w:p>
            <w:pPr>
              <w:rPr>
                <w:sz w:val="2"/>
                <w:szCs w:val="2"/>
              </w:rPr>
            </w:pPr>
          </w:p>
        </w:tc>
        <w:tc>
          <w:tcPr>
            <w:tcW w:w="2518" w:type="dxa"/>
            <w:vMerge/>
            <w:tcBorders>
              <w:top w:val="nil"/>
            </w:tcBorders>
          </w:tcPr>
          <w:p>
            <w:pPr>
              <w:rPr>
                <w:sz w:val="2"/>
                <w:szCs w:val="2"/>
              </w:rPr>
            </w:pPr>
          </w:p>
        </w:tc>
        <w:tc>
          <w:tcPr>
            <w:tcW w:w="2519" w:type="dxa"/>
            <w:tcBorders>
              <w:top w:val="nil"/>
              <w:bottom w:val="nil"/>
            </w:tcBorders>
          </w:tcPr>
          <w:p>
            <w:pPr>
              <w:pStyle w:val="TableParagraph"/>
              <w:rPr>
                <w:rFonts w:ascii="Times New Roman"/>
                <w:sz w:val="18"/>
              </w:rPr>
            </w:pPr>
          </w:p>
        </w:tc>
      </w:tr>
      <w:tr>
        <w:trPr>
          <w:trHeight w:val="265" w:hRule="atLeast"/>
        </w:trPr>
        <w:tc>
          <w:tcPr>
            <w:tcW w:w="2518" w:type="dxa"/>
            <w:tcBorders>
              <w:top w:val="nil"/>
              <w:bottom w:val="nil"/>
            </w:tcBorders>
          </w:tcPr>
          <w:p>
            <w:pPr>
              <w:pStyle w:val="TableParagraph"/>
              <w:spacing w:line="246" w:lineRule="exact"/>
              <w:ind w:left="58"/>
              <w:rPr>
                <w:sz w:val="24"/>
              </w:rPr>
            </w:pPr>
            <w:r>
              <w:rPr>
                <w:sz w:val="24"/>
              </w:rPr>
              <w:t>del Indicador Local</w:t>
            </w:r>
          </w:p>
        </w:tc>
        <w:tc>
          <w:tcPr>
            <w:tcW w:w="2518" w:type="dxa"/>
            <w:tcBorders>
              <w:top w:val="nil"/>
              <w:bottom w:val="nil"/>
            </w:tcBorders>
          </w:tcPr>
          <w:p>
            <w:pPr>
              <w:pStyle w:val="TableParagraph"/>
              <w:rPr>
                <w:rFonts w:ascii="Times New Roman"/>
                <w:sz w:val="18"/>
              </w:rPr>
            </w:pPr>
          </w:p>
        </w:tc>
        <w:tc>
          <w:tcPr>
            <w:tcW w:w="2519" w:type="dxa"/>
            <w:vMerge/>
            <w:tcBorders>
              <w:top w:val="nil"/>
            </w:tcBorders>
          </w:tcPr>
          <w:p>
            <w:pPr>
              <w:rPr>
                <w:sz w:val="2"/>
                <w:szCs w:val="2"/>
              </w:rPr>
            </w:pPr>
          </w:p>
        </w:tc>
        <w:tc>
          <w:tcPr>
            <w:tcW w:w="2518" w:type="dxa"/>
            <w:vMerge/>
            <w:tcBorders>
              <w:top w:val="nil"/>
            </w:tcBorders>
          </w:tcPr>
          <w:p>
            <w:pPr>
              <w:rPr>
                <w:sz w:val="2"/>
                <w:szCs w:val="2"/>
              </w:rPr>
            </w:pPr>
          </w:p>
        </w:tc>
        <w:tc>
          <w:tcPr>
            <w:tcW w:w="2518" w:type="dxa"/>
            <w:vMerge/>
            <w:tcBorders>
              <w:top w:val="nil"/>
            </w:tcBorders>
          </w:tcPr>
          <w:p>
            <w:pPr>
              <w:rPr>
                <w:sz w:val="2"/>
                <w:szCs w:val="2"/>
              </w:rPr>
            </w:pPr>
          </w:p>
        </w:tc>
        <w:tc>
          <w:tcPr>
            <w:tcW w:w="2519" w:type="dxa"/>
            <w:tcBorders>
              <w:top w:val="nil"/>
              <w:bottom w:val="nil"/>
            </w:tcBorders>
          </w:tcPr>
          <w:p>
            <w:pPr>
              <w:pStyle w:val="TableParagraph"/>
              <w:rPr>
                <w:rFonts w:ascii="Times New Roman"/>
                <w:sz w:val="18"/>
              </w:rPr>
            </w:pPr>
          </w:p>
        </w:tc>
      </w:tr>
      <w:tr>
        <w:trPr>
          <w:trHeight w:val="265" w:hRule="atLeast"/>
        </w:trPr>
        <w:tc>
          <w:tcPr>
            <w:tcW w:w="2518" w:type="dxa"/>
            <w:tcBorders>
              <w:top w:val="nil"/>
              <w:bottom w:val="nil"/>
            </w:tcBorders>
          </w:tcPr>
          <w:p>
            <w:pPr>
              <w:pStyle w:val="TableParagraph"/>
              <w:spacing w:line="246" w:lineRule="exact"/>
              <w:ind w:left="58"/>
              <w:rPr>
                <w:sz w:val="24"/>
              </w:rPr>
            </w:pPr>
            <w:r>
              <w:rPr>
                <w:sz w:val="24"/>
              </w:rPr>
              <w:t>para la prioridad 3</w:t>
            </w:r>
          </w:p>
        </w:tc>
        <w:tc>
          <w:tcPr>
            <w:tcW w:w="2518" w:type="dxa"/>
            <w:tcBorders>
              <w:top w:val="nil"/>
              <w:bottom w:val="nil"/>
            </w:tcBorders>
          </w:tcPr>
          <w:p>
            <w:pPr>
              <w:pStyle w:val="TableParagraph"/>
              <w:rPr>
                <w:rFonts w:ascii="Times New Roman"/>
                <w:sz w:val="18"/>
              </w:rPr>
            </w:pPr>
          </w:p>
        </w:tc>
        <w:tc>
          <w:tcPr>
            <w:tcW w:w="2519" w:type="dxa"/>
            <w:vMerge/>
            <w:tcBorders>
              <w:top w:val="nil"/>
            </w:tcBorders>
          </w:tcPr>
          <w:p>
            <w:pPr>
              <w:rPr>
                <w:sz w:val="2"/>
                <w:szCs w:val="2"/>
              </w:rPr>
            </w:pPr>
          </w:p>
        </w:tc>
        <w:tc>
          <w:tcPr>
            <w:tcW w:w="2518" w:type="dxa"/>
            <w:vMerge/>
            <w:tcBorders>
              <w:top w:val="nil"/>
            </w:tcBorders>
          </w:tcPr>
          <w:p>
            <w:pPr>
              <w:rPr>
                <w:sz w:val="2"/>
                <w:szCs w:val="2"/>
              </w:rPr>
            </w:pPr>
          </w:p>
        </w:tc>
        <w:tc>
          <w:tcPr>
            <w:tcW w:w="2518" w:type="dxa"/>
            <w:vMerge/>
            <w:tcBorders>
              <w:top w:val="nil"/>
            </w:tcBorders>
          </w:tcPr>
          <w:p>
            <w:pPr>
              <w:rPr>
                <w:sz w:val="2"/>
                <w:szCs w:val="2"/>
              </w:rPr>
            </w:pPr>
          </w:p>
        </w:tc>
        <w:tc>
          <w:tcPr>
            <w:tcW w:w="2519" w:type="dxa"/>
            <w:tcBorders>
              <w:top w:val="nil"/>
              <w:bottom w:val="nil"/>
            </w:tcBorders>
          </w:tcPr>
          <w:p>
            <w:pPr>
              <w:pStyle w:val="TableParagraph"/>
              <w:rPr>
                <w:rFonts w:ascii="Times New Roman"/>
                <w:sz w:val="18"/>
              </w:rPr>
            </w:pPr>
          </w:p>
        </w:tc>
      </w:tr>
      <w:tr>
        <w:trPr>
          <w:trHeight w:val="265" w:hRule="atLeast"/>
        </w:trPr>
        <w:tc>
          <w:tcPr>
            <w:tcW w:w="2518" w:type="dxa"/>
            <w:tcBorders>
              <w:top w:val="nil"/>
              <w:bottom w:val="nil"/>
            </w:tcBorders>
          </w:tcPr>
          <w:p>
            <w:pPr>
              <w:pStyle w:val="TableParagraph"/>
              <w:spacing w:line="246" w:lineRule="exact"/>
              <w:ind w:left="58"/>
              <w:rPr>
                <w:sz w:val="24"/>
              </w:rPr>
            </w:pPr>
            <w:r>
              <w:rPr>
                <w:sz w:val="24"/>
              </w:rPr>
              <w:t>(Búsqueda de</w:t>
            </w:r>
          </w:p>
        </w:tc>
        <w:tc>
          <w:tcPr>
            <w:tcW w:w="2518" w:type="dxa"/>
            <w:tcBorders>
              <w:top w:val="nil"/>
              <w:bottom w:val="nil"/>
            </w:tcBorders>
          </w:tcPr>
          <w:p>
            <w:pPr>
              <w:pStyle w:val="TableParagraph"/>
              <w:rPr>
                <w:rFonts w:ascii="Times New Roman"/>
                <w:sz w:val="18"/>
              </w:rPr>
            </w:pPr>
          </w:p>
        </w:tc>
        <w:tc>
          <w:tcPr>
            <w:tcW w:w="2519" w:type="dxa"/>
            <w:vMerge/>
            <w:tcBorders>
              <w:top w:val="nil"/>
            </w:tcBorders>
          </w:tcPr>
          <w:p>
            <w:pPr>
              <w:rPr>
                <w:sz w:val="2"/>
                <w:szCs w:val="2"/>
              </w:rPr>
            </w:pPr>
          </w:p>
        </w:tc>
        <w:tc>
          <w:tcPr>
            <w:tcW w:w="2518" w:type="dxa"/>
            <w:vMerge/>
            <w:tcBorders>
              <w:top w:val="nil"/>
            </w:tcBorders>
          </w:tcPr>
          <w:p>
            <w:pPr>
              <w:rPr>
                <w:sz w:val="2"/>
                <w:szCs w:val="2"/>
              </w:rPr>
            </w:pPr>
          </w:p>
        </w:tc>
        <w:tc>
          <w:tcPr>
            <w:tcW w:w="2518" w:type="dxa"/>
            <w:vMerge/>
            <w:tcBorders>
              <w:top w:val="nil"/>
            </w:tcBorders>
          </w:tcPr>
          <w:p>
            <w:pPr>
              <w:rPr>
                <w:sz w:val="2"/>
                <w:szCs w:val="2"/>
              </w:rPr>
            </w:pPr>
          </w:p>
        </w:tc>
        <w:tc>
          <w:tcPr>
            <w:tcW w:w="2519" w:type="dxa"/>
            <w:tcBorders>
              <w:top w:val="nil"/>
              <w:bottom w:val="nil"/>
            </w:tcBorders>
          </w:tcPr>
          <w:p>
            <w:pPr>
              <w:pStyle w:val="TableParagraph"/>
              <w:rPr>
                <w:rFonts w:ascii="Times New Roman"/>
                <w:sz w:val="18"/>
              </w:rPr>
            </w:pPr>
          </w:p>
        </w:tc>
      </w:tr>
      <w:tr>
        <w:trPr>
          <w:trHeight w:val="265" w:hRule="atLeast"/>
        </w:trPr>
        <w:tc>
          <w:tcPr>
            <w:tcW w:w="2518" w:type="dxa"/>
            <w:tcBorders>
              <w:top w:val="nil"/>
              <w:bottom w:val="nil"/>
            </w:tcBorders>
          </w:tcPr>
          <w:p>
            <w:pPr>
              <w:pStyle w:val="TableParagraph"/>
              <w:spacing w:line="246" w:lineRule="exact"/>
              <w:ind w:left="58"/>
              <w:rPr>
                <w:sz w:val="24"/>
              </w:rPr>
            </w:pPr>
            <w:r>
              <w:rPr>
                <w:sz w:val="24"/>
              </w:rPr>
              <w:t>sugerencias para la</w:t>
            </w:r>
          </w:p>
        </w:tc>
        <w:tc>
          <w:tcPr>
            <w:tcW w:w="2518" w:type="dxa"/>
            <w:tcBorders>
              <w:top w:val="nil"/>
              <w:bottom w:val="nil"/>
            </w:tcBorders>
          </w:tcPr>
          <w:p>
            <w:pPr>
              <w:pStyle w:val="TableParagraph"/>
              <w:rPr>
                <w:rFonts w:ascii="Times New Roman"/>
                <w:sz w:val="18"/>
              </w:rPr>
            </w:pPr>
          </w:p>
        </w:tc>
        <w:tc>
          <w:tcPr>
            <w:tcW w:w="2519" w:type="dxa"/>
            <w:vMerge/>
            <w:tcBorders>
              <w:top w:val="nil"/>
            </w:tcBorders>
          </w:tcPr>
          <w:p>
            <w:pPr>
              <w:rPr>
                <w:sz w:val="2"/>
                <w:szCs w:val="2"/>
              </w:rPr>
            </w:pPr>
          </w:p>
        </w:tc>
        <w:tc>
          <w:tcPr>
            <w:tcW w:w="2518" w:type="dxa"/>
            <w:vMerge/>
            <w:tcBorders>
              <w:top w:val="nil"/>
            </w:tcBorders>
          </w:tcPr>
          <w:p>
            <w:pPr>
              <w:rPr>
                <w:sz w:val="2"/>
                <w:szCs w:val="2"/>
              </w:rPr>
            </w:pPr>
          </w:p>
        </w:tc>
        <w:tc>
          <w:tcPr>
            <w:tcW w:w="2518" w:type="dxa"/>
            <w:vMerge/>
            <w:tcBorders>
              <w:top w:val="nil"/>
            </w:tcBorders>
          </w:tcPr>
          <w:p>
            <w:pPr>
              <w:rPr>
                <w:sz w:val="2"/>
                <w:szCs w:val="2"/>
              </w:rPr>
            </w:pPr>
          </w:p>
        </w:tc>
        <w:tc>
          <w:tcPr>
            <w:tcW w:w="2519" w:type="dxa"/>
            <w:tcBorders>
              <w:top w:val="nil"/>
              <w:bottom w:val="nil"/>
            </w:tcBorders>
          </w:tcPr>
          <w:p>
            <w:pPr>
              <w:pStyle w:val="TableParagraph"/>
              <w:rPr>
                <w:rFonts w:ascii="Times New Roman"/>
                <w:sz w:val="18"/>
              </w:rPr>
            </w:pPr>
          </w:p>
        </w:tc>
      </w:tr>
      <w:tr>
        <w:trPr>
          <w:trHeight w:val="265" w:hRule="atLeast"/>
        </w:trPr>
        <w:tc>
          <w:tcPr>
            <w:tcW w:w="2518" w:type="dxa"/>
            <w:tcBorders>
              <w:top w:val="nil"/>
              <w:bottom w:val="nil"/>
            </w:tcBorders>
          </w:tcPr>
          <w:p>
            <w:pPr>
              <w:pStyle w:val="TableParagraph"/>
              <w:spacing w:line="246" w:lineRule="exact"/>
              <w:ind w:left="58"/>
              <w:rPr>
                <w:sz w:val="24"/>
              </w:rPr>
            </w:pPr>
            <w:r>
              <w:rPr>
                <w:sz w:val="24"/>
              </w:rPr>
              <w:t>toma de decisiones</w:t>
            </w:r>
          </w:p>
        </w:tc>
        <w:tc>
          <w:tcPr>
            <w:tcW w:w="2518" w:type="dxa"/>
            <w:tcBorders>
              <w:top w:val="nil"/>
              <w:bottom w:val="nil"/>
            </w:tcBorders>
          </w:tcPr>
          <w:p>
            <w:pPr>
              <w:pStyle w:val="TableParagraph"/>
              <w:rPr>
                <w:rFonts w:ascii="Times New Roman"/>
                <w:sz w:val="18"/>
              </w:rPr>
            </w:pPr>
          </w:p>
        </w:tc>
        <w:tc>
          <w:tcPr>
            <w:tcW w:w="2519" w:type="dxa"/>
            <w:vMerge/>
            <w:tcBorders>
              <w:top w:val="nil"/>
            </w:tcBorders>
          </w:tcPr>
          <w:p>
            <w:pPr>
              <w:rPr>
                <w:sz w:val="2"/>
                <w:szCs w:val="2"/>
              </w:rPr>
            </w:pPr>
          </w:p>
        </w:tc>
        <w:tc>
          <w:tcPr>
            <w:tcW w:w="2518" w:type="dxa"/>
            <w:vMerge/>
            <w:tcBorders>
              <w:top w:val="nil"/>
            </w:tcBorders>
          </w:tcPr>
          <w:p>
            <w:pPr>
              <w:rPr>
                <w:sz w:val="2"/>
                <w:szCs w:val="2"/>
              </w:rPr>
            </w:pPr>
          </w:p>
        </w:tc>
        <w:tc>
          <w:tcPr>
            <w:tcW w:w="2518" w:type="dxa"/>
            <w:vMerge/>
            <w:tcBorders>
              <w:top w:val="nil"/>
            </w:tcBorders>
          </w:tcPr>
          <w:p>
            <w:pPr>
              <w:rPr>
                <w:sz w:val="2"/>
                <w:szCs w:val="2"/>
              </w:rPr>
            </w:pPr>
          </w:p>
        </w:tc>
        <w:tc>
          <w:tcPr>
            <w:tcW w:w="2519" w:type="dxa"/>
            <w:tcBorders>
              <w:top w:val="nil"/>
              <w:bottom w:val="nil"/>
            </w:tcBorders>
          </w:tcPr>
          <w:p>
            <w:pPr>
              <w:pStyle w:val="TableParagraph"/>
              <w:rPr>
                <w:rFonts w:ascii="Times New Roman"/>
                <w:sz w:val="18"/>
              </w:rPr>
            </w:pPr>
          </w:p>
        </w:tc>
      </w:tr>
      <w:tr>
        <w:trPr>
          <w:trHeight w:val="601" w:hRule="atLeast"/>
        </w:trPr>
        <w:tc>
          <w:tcPr>
            <w:tcW w:w="2518" w:type="dxa"/>
            <w:tcBorders>
              <w:top w:val="nil"/>
            </w:tcBorders>
          </w:tcPr>
          <w:p>
            <w:pPr>
              <w:pStyle w:val="TableParagraph"/>
              <w:spacing w:line="263" w:lineRule="exact"/>
              <w:ind w:left="58"/>
              <w:rPr>
                <w:sz w:val="24"/>
              </w:rPr>
            </w:pPr>
            <w:r>
              <w:rPr>
                <w:sz w:val="24"/>
              </w:rPr>
              <w:t>#10) y encuesta local</w:t>
            </w:r>
          </w:p>
        </w:tc>
        <w:tc>
          <w:tcPr>
            <w:tcW w:w="2518" w:type="dxa"/>
            <w:tcBorders>
              <w:top w:val="nil"/>
            </w:tcBorders>
          </w:tcPr>
          <w:p>
            <w:pPr>
              <w:pStyle w:val="TableParagraph"/>
              <w:rPr>
                <w:rFonts w:ascii="Times New Roman"/>
                <w:sz w:val="22"/>
              </w:rPr>
            </w:pPr>
          </w:p>
        </w:tc>
        <w:tc>
          <w:tcPr>
            <w:tcW w:w="2519" w:type="dxa"/>
            <w:vMerge/>
            <w:tcBorders>
              <w:top w:val="nil"/>
            </w:tcBorders>
          </w:tcPr>
          <w:p>
            <w:pPr>
              <w:rPr>
                <w:sz w:val="2"/>
                <w:szCs w:val="2"/>
              </w:rPr>
            </w:pPr>
          </w:p>
        </w:tc>
        <w:tc>
          <w:tcPr>
            <w:tcW w:w="2518" w:type="dxa"/>
            <w:vMerge/>
            <w:tcBorders>
              <w:top w:val="nil"/>
            </w:tcBorders>
          </w:tcPr>
          <w:p>
            <w:pPr>
              <w:rPr>
                <w:sz w:val="2"/>
                <w:szCs w:val="2"/>
              </w:rPr>
            </w:pPr>
          </w:p>
        </w:tc>
        <w:tc>
          <w:tcPr>
            <w:tcW w:w="2518" w:type="dxa"/>
            <w:vMerge/>
            <w:tcBorders>
              <w:top w:val="nil"/>
            </w:tcBorders>
          </w:tcPr>
          <w:p>
            <w:pPr>
              <w:rPr>
                <w:sz w:val="2"/>
                <w:szCs w:val="2"/>
              </w:rPr>
            </w:pPr>
          </w:p>
        </w:tc>
        <w:tc>
          <w:tcPr>
            <w:tcW w:w="2519" w:type="dxa"/>
            <w:tcBorders>
              <w:top w:val="nil"/>
            </w:tcBorders>
          </w:tcPr>
          <w:p>
            <w:pPr>
              <w:pStyle w:val="TableParagraph"/>
              <w:rPr>
                <w:rFonts w:ascii="Times New Roman"/>
                <w:sz w:val="22"/>
              </w:rPr>
            </w:pPr>
          </w:p>
        </w:tc>
      </w:tr>
    </w:tbl>
    <w:p>
      <w:pPr>
        <w:spacing w:after="0"/>
        <w:rPr>
          <w:rFonts w:ascii="Times New Roman"/>
          <w:sz w:val="22"/>
        </w:rPr>
        <w:sectPr>
          <w:pgSz w:w="15840" w:h="12240" w:orient="landscape"/>
          <w:pgMar w:header="0" w:footer="284" w:top="640" w:bottom="480" w:left="120" w:right="120"/>
        </w:sectPr>
      </w:pPr>
    </w:p>
    <w:tbl>
      <w:tblPr>
        <w:tblW w:w="0" w:type="auto"/>
        <w:jc w:val="left"/>
        <w:tblInd w:w="250"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ayout w:type="fixed"/>
        <w:tblCellMar>
          <w:top w:w="0" w:type="dxa"/>
          <w:left w:w="0" w:type="dxa"/>
          <w:bottom w:w="0" w:type="dxa"/>
          <w:right w:w="0" w:type="dxa"/>
        </w:tblCellMar>
        <w:tblLook w:val="01E0"/>
      </w:tblPr>
      <w:tblGrid>
        <w:gridCol w:w="2518"/>
        <w:gridCol w:w="2518"/>
        <w:gridCol w:w="2519"/>
        <w:gridCol w:w="2518"/>
        <w:gridCol w:w="2518"/>
        <w:gridCol w:w="2519"/>
      </w:tblGrid>
      <w:tr>
        <w:trPr>
          <w:trHeight w:val="667" w:hRule="atLeast"/>
        </w:trPr>
        <w:tc>
          <w:tcPr>
            <w:tcW w:w="2518" w:type="dxa"/>
            <w:shd w:val="clear" w:color="auto" w:fill="DBE5F1"/>
          </w:tcPr>
          <w:p>
            <w:pPr>
              <w:pStyle w:val="TableParagraph"/>
              <w:spacing w:before="192"/>
              <w:ind w:left="845" w:right="835"/>
              <w:jc w:val="center"/>
              <w:rPr>
                <w:sz w:val="24"/>
              </w:rPr>
            </w:pPr>
            <w:r>
              <w:rPr>
                <w:sz w:val="24"/>
              </w:rPr>
              <w:t>Medida</w:t>
            </w:r>
          </w:p>
        </w:tc>
        <w:tc>
          <w:tcPr>
            <w:tcW w:w="2518" w:type="dxa"/>
            <w:shd w:val="clear" w:color="auto" w:fill="DBE5F1"/>
          </w:tcPr>
          <w:p>
            <w:pPr>
              <w:pStyle w:val="TableParagraph"/>
              <w:spacing w:before="192"/>
              <w:ind w:left="732"/>
              <w:rPr>
                <w:sz w:val="24"/>
              </w:rPr>
            </w:pPr>
            <w:r>
              <w:rPr>
                <w:sz w:val="24"/>
              </w:rPr>
              <w:t>Referente</w:t>
            </w:r>
          </w:p>
        </w:tc>
        <w:tc>
          <w:tcPr>
            <w:tcW w:w="2519" w:type="dxa"/>
            <w:shd w:val="clear" w:color="auto" w:fill="DBE5F1"/>
          </w:tcPr>
          <w:p>
            <w:pPr>
              <w:pStyle w:val="TableParagraph"/>
              <w:spacing w:before="192"/>
              <w:ind w:left="178"/>
              <w:rPr>
                <w:sz w:val="24"/>
              </w:rPr>
            </w:pPr>
            <w:r>
              <w:rPr>
                <w:sz w:val="24"/>
              </w:rPr>
              <w:t>Resultado del Año 1</w:t>
            </w:r>
          </w:p>
        </w:tc>
        <w:tc>
          <w:tcPr>
            <w:tcW w:w="2518" w:type="dxa"/>
            <w:shd w:val="clear" w:color="auto" w:fill="DBE5F1"/>
          </w:tcPr>
          <w:p>
            <w:pPr>
              <w:pStyle w:val="TableParagraph"/>
              <w:spacing w:before="192"/>
              <w:ind w:left="178"/>
              <w:rPr>
                <w:sz w:val="24"/>
              </w:rPr>
            </w:pPr>
            <w:r>
              <w:rPr>
                <w:sz w:val="24"/>
              </w:rPr>
              <w:t>Resultado del Año 2</w:t>
            </w:r>
          </w:p>
        </w:tc>
        <w:tc>
          <w:tcPr>
            <w:tcW w:w="2518" w:type="dxa"/>
            <w:shd w:val="clear" w:color="auto" w:fill="DBE5F1"/>
          </w:tcPr>
          <w:p>
            <w:pPr>
              <w:pStyle w:val="TableParagraph"/>
              <w:spacing w:before="192"/>
              <w:ind w:left="178"/>
              <w:rPr>
                <w:sz w:val="24"/>
              </w:rPr>
            </w:pPr>
            <w:r>
              <w:rPr>
                <w:sz w:val="24"/>
              </w:rPr>
              <w:t>Resultado del Año 3</w:t>
            </w:r>
          </w:p>
        </w:tc>
        <w:tc>
          <w:tcPr>
            <w:tcW w:w="2519" w:type="dxa"/>
            <w:shd w:val="clear" w:color="auto" w:fill="DBE5F1"/>
          </w:tcPr>
          <w:p>
            <w:pPr>
              <w:pStyle w:val="TableParagraph"/>
              <w:spacing w:before="54"/>
              <w:ind w:left="518" w:right="176" w:hanging="314"/>
              <w:rPr>
                <w:sz w:val="24"/>
              </w:rPr>
            </w:pPr>
            <w:r>
              <w:rPr>
                <w:sz w:val="24"/>
              </w:rPr>
              <w:t>Resultado Deseado para 2023–24</w:t>
            </w:r>
          </w:p>
        </w:tc>
      </w:tr>
      <w:tr>
        <w:trPr>
          <w:trHeight w:val="4531" w:hRule="atLeast"/>
        </w:trPr>
        <w:tc>
          <w:tcPr>
            <w:tcW w:w="2518" w:type="dxa"/>
          </w:tcPr>
          <w:p>
            <w:pPr>
              <w:pStyle w:val="TableParagraph"/>
              <w:spacing w:before="54"/>
              <w:ind w:left="58" w:right="41"/>
              <w:rPr>
                <w:sz w:val="24"/>
              </w:rPr>
            </w:pPr>
            <w:r>
              <w:rPr>
                <w:sz w:val="24"/>
              </w:rPr>
              <w:t>Prioridad 3b y 3c de la Fórmula de Financiamiento y Control Local (LCFF, por sus siglas en inglés): Sugerencias de los Padres en la toma de deciciones Fuente: Herramienta del Indicador Local para la prioridad 3 (Búsqueda de sugerencias para la toma de decisiones #11) y encuesta local</w:t>
            </w:r>
          </w:p>
        </w:tc>
        <w:tc>
          <w:tcPr>
            <w:tcW w:w="2518" w:type="dxa"/>
          </w:tcPr>
          <w:p>
            <w:pPr>
              <w:pStyle w:val="TableParagraph"/>
              <w:spacing w:before="54"/>
              <w:ind w:left="58" w:right="68"/>
              <w:rPr>
                <w:sz w:val="24"/>
              </w:rPr>
            </w:pPr>
            <w:r>
              <w:rPr>
                <w:sz w:val="24"/>
              </w:rPr>
              <w:t>Implementación inicial (3)</w:t>
            </w:r>
          </w:p>
          <w:p>
            <w:pPr>
              <w:pStyle w:val="TableParagraph"/>
              <w:ind w:left="58"/>
              <w:rPr>
                <w:sz w:val="24"/>
              </w:rPr>
            </w:pPr>
            <w:r>
              <w:rPr>
                <w:sz w:val="24"/>
              </w:rPr>
              <w:t>Padres: 73%</w:t>
            </w:r>
          </w:p>
        </w:tc>
        <w:tc>
          <w:tcPr>
            <w:tcW w:w="2519" w:type="dxa"/>
          </w:tcPr>
          <w:p>
            <w:pPr>
              <w:pStyle w:val="TableParagraph"/>
              <w:rPr>
                <w:rFonts w:ascii="Times New Roman"/>
                <w:sz w:val="22"/>
              </w:rPr>
            </w:pPr>
          </w:p>
        </w:tc>
        <w:tc>
          <w:tcPr>
            <w:tcW w:w="2518" w:type="dxa"/>
          </w:tcPr>
          <w:p>
            <w:pPr>
              <w:pStyle w:val="TableParagraph"/>
              <w:rPr>
                <w:rFonts w:ascii="Times New Roman"/>
                <w:sz w:val="22"/>
              </w:rPr>
            </w:pPr>
          </w:p>
        </w:tc>
        <w:tc>
          <w:tcPr>
            <w:tcW w:w="2518" w:type="dxa"/>
          </w:tcPr>
          <w:p>
            <w:pPr>
              <w:pStyle w:val="TableParagraph"/>
              <w:rPr>
                <w:rFonts w:ascii="Times New Roman"/>
                <w:sz w:val="22"/>
              </w:rPr>
            </w:pPr>
          </w:p>
        </w:tc>
        <w:tc>
          <w:tcPr>
            <w:tcW w:w="2519" w:type="dxa"/>
          </w:tcPr>
          <w:p>
            <w:pPr>
              <w:pStyle w:val="TableParagraph"/>
              <w:rPr>
                <w:rFonts w:ascii="Times New Roman"/>
                <w:sz w:val="22"/>
              </w:rPr>
            </w:pPr>
          </w:p>
        </w:tc>
      </w:tr>
      <w:tr>
        <w:trPr>
          <w:trHeight w:val="5359" w:hRule="atLeast"/>
        </w:trPr>
        <w:tc>
          <w:tcPr>
            <w:tcW w:w="2518" w:type="dxa"/>
          </w:tcPr>
          <w:p>
            <w:pPr>
              <w:pStyle w:val="TableParagraph"/>
              <w:spacing w:before="54"/>
              <w:ind w:left="58" w:right="202"/>
              <w:rPr>
                <w:sz w:val="24"/>
              </w:rPr>
            </w:pPr>
            <w:r>
              <w:rPr>
                <w:sz w:val="24"/>
              </w:rPr>
              <w:t>Prioridad 8 de la Fórmula de Financiamiento y Control Local (LCFF, por sus siglas en inglés): Resultados locales</w:t>
            </w:r>
          </w:p>
          <w:p>
            <w:pPr>
              <w:pStyle w:val="TableParagraph"/>
              <w:ind w:left="58" w:right="77"/>
              <w:rPr>
                <w:sz w:val="24"/>
              </w:rPr>
            </w:pPr>
            <w:r>
              <w:rPr>
                <w:sz w:val="24"/>
              </w:rPr>
              <w:t>Fuente: Medidas de progreso académico (MAP, por sus siglas en inglés) de "Northwest Evaluation Association" (la Asociación de Evaluación del Noroeste [NWEA, por sus siglas en inglés]) Artes lingüísticas en inglés (ELA, por sus</w:t>
            </w:r>
          </w:p>
        </w:tc>
        <w:tc>
          <w:tcPr>
            <w:tcW w:w="2518" w:type="dxa"/>
          </w:tcPr>
          <w:p>
            <w:pPr>
              <w:pStyle w:val="TableParagraph"/>
              <w:spacing w:before="54"/>
              <w:ind w:left="58"/>
              <w:rPr>
                <w:sz w:val="24"/>
              </w:rPr>
            </w:pPr>
            <w:r>
              <w:rPr>
                <w:sz w:val="24"/>
              </w:rPr>
              <w:t>Invierno 2019-20</w:t>
            </w:r>
          </w:p>
          <w:p>
            <w:pPr>
              <w:pStyle w:val="TableParagraph"/>
              <w:ind w:left="58" w:right="172"/>
              <w:rPr>
                <w:sz w:val="24"/>
              </w:rPr>
            </w:pPr>
            <w:r>
              <w:rPr>
                <w:sz w:val="24"/>
              </w:rPr>
              <w:t>2° año: 67% en o por encima</w:t>
            </w:r>
          </w:p>
          <w:p>
            <w:pPr>
              <w:pStyle w:val="TableParagraph"/>
              <w:ind w:left="58" w:right="172"/>
              <w:rPr>
                <w:sz w:val="24"/>
              </w:rPr>
            </w:pPr>
            <w:r>
              <w:rPr>
                <w:sz w:val="24"/>
              </w:rPr>
              <w:t>3° año: 63% en o por encima</w:t>
            </w:r>
          </w:p>
          <w:p>
            <w:pPr>
              <w:pStyle w:val="TableParagraph"/>
              <w:ind w:left="58" w:right="172"/>
              <w:rPr>
                <w:sz w:val="24"/>
              </w:rPr>
            </w:pPr>
            <w:r>
              <w:rPr>
                <w:sz w:val="24"/>
              </w:rPr>
              <w:t>4° año: 38% en o por encima</w:t>
            </w:r>
          </w:p>
          <w:p>
            <w:pPr>
              <w:pStyle w:val="TableParagraph"/>
              <w:ind w:left="58" w:right="172"/>
              <w:rPr>
                <w:sz w:val="24"/>
              </w:rPr>
            </w:pPr>
            <w:r>
              <w:rPr>
                <w:sz w:val="24"/>
              </w:rPr>
              <w:t>5° año: 57% en o por encima</w:t>
            </w:r>
          </w:p>
          <w:p>
            <w:pPr>
              <w:pStyle w:val="TableParagraph"/>
              <w:ind w:left="58" w:right="172"/>
              <w:rPr>
                <w:sz w:val="24"/>
              </w:rPr>
            </w:pPr>
            <w:r>
              <w:rPr>
                <w:sz w:val="24"/>
              </w:rPr>
              <w:t>6° año: 47% en o por encima</w:t>
            </w:r>
          </w:p>
          <w:p>
            <w:pPr>
              <w:pStyle w:val="TableParagraph"/>
              <w:ind w:left="58" w:right="172"/>
              <w:rPr>
                <w:sz w:val="24"/>
              </w:rPr>
            </w:pPr>
            <w:r>
              <w:rPr>
                <w:sz w:val="24"/>
              </w:rPr>
              <w:t>7° año: 50% en o por encima</w:t>
            </w:r>
          </w:p>
          <w:p>
            <w:pPr>
              <w:pStyle w:val="TableParagraph"/>
              <w:ind w:left="58" w:right="172"/>
              <w:rPr>
                <w:sz w:val="24"/>
              </w:rPr>
            </w:pPr>
            <w:r>
              <w:rPr>
                <w:sz w:val="24"/>
              </w:rPr>
              <w:t>8° año: 57% en o por encima</w:t>
            </w:r>
          </w:p>
          <w:p>
            <w:pPr>
              <w:pStyle w:val="TableParagraph"/>
              <w:ind w:left="58" w:right="95"/>
              <w:rPr>
                <w:sz w:val="24"/>
              </w:rPr>
            </w:pPr>
            <w:r>
              <w:rPr>
                <w:sz w:val="24"/>
              </w:rPr>
              <w:t>Puntaje RIT promedio del nivel de año del distrito</w:t>
            </w:r>
          </w:p>
        </w:tc>
        <w:tc>
          <w:tcPr>
            <w:tcW w:w="2519" w:type="dxa"/>
          </w:tcPr>
          <w:p>
            <w:pPr>
              <w:pStyle w:val="TableParagraph"/>
              <w:rPr>
                <w:rFonts w:ascii="Times New Roman"/>
                <w:sz w:val="22"/>
              </w:rPr>
            </w:pPr>
          </w:p>
        </w:tc>
        <w:tc>
          <w:tcPr>
            <w:tcW w:w="2518" w:type="dxa"/>
          </w:tcPr>
          <w:p>
            <w:pPr>
              <w:pStyle w:val="TableParagraph"/>
              <w:rPr>
                <w:rFonts w:ascii="Times New Roman"/>
                <w:sz w:val="22"/>
              </w:rPr>
            </w:pPr>
          </w:p>
        </w:tc>
        <w:tc>
          <w:tcPr>
            <w:tcW w:w="2518" w:type="dxa"/>
          </w:tcPr>
          <w:p>
            <w:pPr>
              <w:pStyle w:val="TableParagraph"/>
              <w:rPr>
                <w:rFonts w:ascii="Times New Roman"/>
                <w:sz w:val="22"/>
              </w:rPr>
            </w:pPr>
          </w:p>
        </w:tc>
        <w:tc>
          <w:tcPr>
            <w:tcW w:w="2519" w:type="dxa"/>
          </w:tcPr>
          <w:p>
            <w:pPr>
              <w:pStyle w:val="TableParagraph"/>
              <w:spacing w:before="54"/>
              <w:ind w:left="57"/>
              <w:rPr>
                <w:sz w:val="24"/>
              </w:rPr>
            </w:pPr>
            <w:r>
              <w:rPr>
                <w:sz w:val="24"/>
              </w:rPr>
              <w:t>Invierno 2023-2024</w:t>
            </w:r>
          </w:p>
          <w:p>
            <w:pPr>
              <w:pStyle w:val="TableParagraph"/>
              <w:ind w:left="57" w:right="174"/>
              <w:rPr>
                <w:sz w:val="24"/>
              </w:rPr>
            </w:pPr>
            <w:r>
              <w:rPr>
                <w:sz w:val="24"/>
              </w:rPr>
              <w:t>2° año: 70% en o por encima</w:t>
            </w:r>
          </w:p>
          <w:p>
            <w:pPr>
              <w:pStyle w:val="TableParagraph"/>
              <w:ind w:left="57" w:right="174"/>
              <w:rPr>
                <w:sz w:val="24"/>
              </w:rPr>
            </w:pPr>
            <w:r>
              <w:rPr>
                <w:sz w:val="24"/>
              </w:rPr>
              <w:t>3° año: 70% en o por encima</w:t>
            </w:r>
          </w:p>
          <w:p>
            <w:pPr>
              <w:pStyle w:val="TableParagraph"/>
              <w:ind w:left="57" w:right="174"/>
              <w:rPr>
                <w:sz w:val="24"/>
              </w:rPr>
            </w:pPr>
            <w:r>
              <w:rPr>
                <w:sz w:val="24"/>
              </w:rPr>
              <w:t>4° año: 50% en o por encima</w:t>
            </w:r>
          </w:p>
          <w:p>
            <w:pPr>
              <w:pStyle w:val="TableParagraph"/>
              <w:ind w:left="57" w:right="174"/>
              <w:rPr>
                <w:sz w:val="24"/>
              </w:rPr>
            </w:pPr>
            <w:r>
              <w:rPr>
                <w:sz w:val="24"/>
              </w:rPr>
              <w:t>5° año: 60% en o por encima</w:t>
            </w:r>
          </w:p>
          <w:p>
            <w:pPr>
              <w:pStyle w:val="TableParagraph"/>
              <w:ind w:left="57" w:right="174"/>
              <w:rPr>
                <w:sz w:val="24"/>
              </w:rPr>
            </w:pPr>
            <w:r>
              <w:rPr>
                <w:sz w:val="24"/>
              </w:rPr>
              <w:t>6° año: 50% en o por encima</w:t>
            </w:r>
          </w:p>
          <w:p>
            <w:pPr>
              <w:pStyle w:val="TableParagraph"/>
              <w:ind w:left="57" w:right="174"/>
              <w:rPr>
                <w:sz w:val="24"/>
              </w:rPr>
            </w:pPr>
            <w:r>
              <w:rPr>
                <w:sz w:val="24"/>
              </w:rPr>
              <w:t>7° año: 60% en o por encima</w:t>
            </w:r>
          </w:p>
          <w:p>
            <w:pPr>
              <w:pStyle w:val="TableParagraph"/>
              <w:ind w:left="57" w:right="174"/>
              <w:rPr>
                <w:sz w:val="24"/>
              </w:rPr>
            </w:pPr>
            <w:r>
              <w:rPr>
                <w:sz w:val="24"/>
              </w:rPr>
              <w:t>8° año: 65% en o por encima</w:t>
            </w:r>
          </w:p>
          <w:p>
            <w:pPr>
              <w:pStyle w:val="TableParagraph"/>
              <w:ind w:left="57" w:right="97"/>
              <w:rPr>
                <w:sz w:val="24"/>
              </w:rPr>
            </w:pPr>
            <w:r>
              <w:rPr>
                <w:sz w:val="24"/>
              </w:rPr>
              <w:t>Puntaje RIT promedio del nivel de año del distrito</w:t>
            </w:r>
          </w:p>
        </w:tc>
      </w:tr>
    </w:tbl>
    <w:p>
      <w:pPr>
        <w:spacing w:after="0"/>
        <w:rPr>
          <w:sz w:val="24"/>
        </w:rPr>
        <w:sectPr>
          <w:pgSz w:w="15840" w:h="12240" w:orient="landscape"/>
          <w:pgMar w:header="0" w:footer="284" w:top="640" w:bottom="480" w:left="120" w:right="120"/>
        </w:sectPr>
      </w:pPr>
    </w:p>
    <w:tbl>
      <w:tblPr>
        <w:tblW w:w="0" w:type="auto"/>
        <w:jc w:val="left"/>
        <w:tblInd w:w="250"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ayout w:type="fixed"/>
        <w:tblCellMar>
          <w:top w:w="0" w:type="dxa"/>
          <w:left w:w="0" w:type="dxa"/>
          <w:bottom w:w="0" w:type="dxa"/>
          <w:right w:w="0" w:type="dxa"/>
        </w:tblCellMar>
        <w:tblLook w:val="01E0"/>
      </w:tblPr>
      <w:tblGrid>
        <w:gridCol w:w="2518"/>
        <w:gridCol w:w="2518"/>
        <w:gridCol w:w="2519"/>
        <w:gridCol w:w="2518"/>
        <w:gridCol w:w="2518"/>
        <w:gridCol w:w="2519"/>
      </w:tblGrid>
      <w:tr>
        <w:trPr>
          <w:trHeight w:val="667" w:hRule="atLeast"/>
        </w:trPr>
        <w:tc>
          <w:tcPr>
            <w:tcW w:w="2518" w:type="dxa"/>
            <w:shd w:val="clear" w:color="auto" w:fill="DBE5F1"/>
          </w:tcPr>
          <w:p>
            <w:pPr>
              <w:pStyle w:val="TableParagraph"/>
              <w:spacing w:before="192"/>
              <w:ind w:left="845" w:right="835"/>
              <w:jc w:val="center"/>
              <w:rPr>
                <w:sz w:val="24"/>
              </w:rPr>
            </w:pPr>
            <w:r>
              <w:rPr>
                <w:sz w:val="24"/>
              </w:rPr>
              <w:t>Medida</w:t>
            </w:r>
          </w:p>
        </w:tc>
        <w:tc>
          <w:tcPr>
            <w:tcW w:w="2518" w:type="dxa"/>
            <w:shd w:val="clear" w:color="auto" w:fill="DBE5F1"/>
          </w:tcPr>
          <w:p>
            <w:pPr>
              <w:pStyle w:val="TableParagraph"/>
              <w:spacing w:before="192"/>
              <w:ind w:left="732"/>
              <w:rPr>
                <w:sz w:val="24"/>
              </w:rPr>
            </w:pPr>
            <w:r>
              <w:rPr>
                <w:sz w:val="24"/>
              </w:rPr>
              <w:t>Referente</w:t>
            </w:r>
          </w:p>
        </w:tc>
        <w:tc>
          <w:tcPr>
            <w:tcW w:w="2519" w:type="dxa"/>
            <w:shd w:val="clear" w:color="auto" w:fill="DBE5F1"/>
          </w:tcPr>
          <w:p>
            <w:pPr>
              <w:pStyle w:val="TableParagraph"/>
              <w:spacing w:before="192"/>
              <w:ind w:left="178"/>
              <w:rPr>
                <w:sz w:val="24"/>
              </w:rPr>
            </w:pPr>
            <w:r>
              <w:rPr>
                <w:sz w:val="24"/>
              </w:rPr>
              <w:t>Resultado del Año 1</w:t>
            </w:r>
          </w:p>
        </w:tc>
        <w:tc>
          <w:tcPr>
            <w:tcW w:w="2518" w:type="dxa"/>
            <w:shd w:val="clear" w:color="auto" w:fill="DBE5F1"/>
          </w:tcPr>
          <w:p>
            <w:pPr>
              <w:pStyle w:val="TableParagraph"/>
              <w:spacing w:before="192"/>
              <w:ind w:left="178"/>
              <w:rPr>
                <w:sz w:val="24"/>
              </w:rPr>
            </w:pPr>
            <w:r>
              <w:rPr>
                <w:sz w:val="24"/>
              </w:rPr>
              <w:t>Resultado del Año 2</w:t>
            </w:r>
          </w:p>
        </w:tc>
        <w:tc>
          <w:tcPr>
            <w:tcW w:w="2518" w:type="dxa"/>
            <w:shd w:val="clear" w:color="auto" w:fill="DBE5F1"/>
          </w:tcPr>
          <w:p>
            <w:pPr>
              <w:pStyle w:val="TableParagraph"/>
              <w:spacing w:before="192"/>
              <w:ind w:left="178"/>
              <w:rPr>
                <w:sz w:val="24"/>
              </w:rPr>
            </w:pPr>
            <w:r>
              <w:rPr>
                <w:sz w:val="24"/>
              </w:rPr>
              <w:t>Resultado del Año 3</w:t>
            </w:r>
          </w:p>
        </w:tc>
        <w:tc>
          <w:tcPr>
            <w:tcW w:w="2519" w:type="dxa"/>
            <w:shd w:val="clear" w:color="auto" w:fill="DBE5F1"/>
          </w:tcPr>
          <w:p>
            <w:pPr>
              <w:pStyle w:val="TableParagraph"/>
              <w:spacing w:before="54"/>
              <w:ind w:left="518" w:right="176" w:hanging="314"/>
              <w:rPr>
                <w:sz w:val="24"/>
              </w:rPr>
            </w:pPr>
            <w:r>
              <w:rPr>
                <w:sz w:val="24"/>
              </w:rPr>
              <w:t>Resultado Deseado para 2023–24</w:t>
            </w:r>
          </w:p>
        </w:tc>
      </w:tr>
      <w:tr>
        <w:trPr>
          <w:trHeight w:val="943" w:hRule="atLeast"/>
        </w:trPr>
        <w:tc>
          <w:tcPr>
            <w:tcW w:w="2518" w:type="dxa"/>
          </w:tcPr>
          <w:p>
            <w:pPr>
              <w:pStyle w:val="TableParagraph"/>
              <w:spacing w:before="54"/>
              <w:ind w:left="58" w:right="212"/>
              <w:rPr>
                <w:sz w:val="24"/>
              </w:rPr>
            </w:pPr>
            <w:r>
              <w:rPr>
                <w:sz w:val="24"/>
              </w:rPr>
              <w:t>siglas en inglés) 2° a 8° año</w:t>
            </w:r>
          </w:p>
        </w:tc>
        <w:tc>
          <w:tcPr>
            <w:tcW w:w="2518" w:type="dxa"/>
          </w:tcPr>
          <w:p>
            <w:pPr>
              <w:pStyle w:val="TableParagraph"/>
              <w:rPr>
                <w:rFonts w:ascii="Times New Roman"/>
                <w:sz w:val="22"/>
              </w:rPr>
            </w:pPr>
          </w:p>
        </w:tc>
        <w:tc>
          <w:tcPr>
            <w:tcW w:w="2519" w:type="dxa"/>
          </w:tcPr>
          <w:p>
            <w:pPr>
              <w:pStyle w:val="TableParagraph"/>
              <w:rPr>
                <w:rFonts w:ascii="Times New Roman"/>
                <w:sz w:val="22"/>
              </w:rPr>
            </w:pPr>
          </w:p>
        </w:tc>
        <w:tc>
          <w:tcPr>
            <w:tcW w:w="2518" w:type="dxa"/>
          </w:tcPr>
          <w:p>
            <w:pPr>
              <w:pStyle w:val="TableParagraph"/>
              <w:rPr>
                <w:rFonts w:ascii="Times New Roman"/>
                <w:sz w:val="22"/>
              </w:rPr>
            </w:pPr>
          </w:p>
        </w:tc>
        <w:tc>
          <w:tcPr>
            <w:tcW w:w="2518" w:type="dxa"/>
          </w:tcPr>
          <w:p>
            <w:pPr>
              <w:pStyle w:val="TableParagraph"/>
              <w:rPr>
                <w:rFonts w:ascii="Times New Roman"/>
                <w:sz w:val="22"/>
              </w:rPr>
            </w:pPr>
          </w:p>
        </w:tc>
        <w:tc>
          <w:tcPr>
            <w:tcW w:w="2519" w:type="dxa"/>
          </w:tcPr>
          <w:p>
            <w:pPr>
              <w:pStyle w:val="TableParagraph"/>
              <w:rPr>
                <w:rFonts w:ascii="Times New Roman"/>
                <w:sz w:val="22"/>
              </w:rPr>
            </w:pPr>
          </w:p>
        </w:tc>
      </w:tr>
      <w:tr>
        <w:trPr>
          <w:trHeight w:val="7567" w:hRule="atLeast"/>
        </w:trPr>
        <w:tc>
          <w:tcPr>
            <w:tcW w:w="2518" w:type="dxa"/>
          </w:tcPr>
          <w:p>
            <w:pPr>
              <w:pStyle w:val="TableParagraph"/>
              <w:spacing w:before="54"/>
              <w:ind w:left="58" w:right="202"/>
              <w:rPr>
                <w:sz w:val="24"/>
              </w:rPr>
            </w:pPr>
            <w:r>
              <w:rPr>
                <w:sz w:val="24"/>
              </w:rPr>
              <w:t>Prioridad 8 de la Fórmula de Financiamiento y Control Local (LCFF, por sus siglas en inglés)</w:t>
            </w:r>
          </w:p>
          <w:p>
            <w:pPr>
              <w:pStyle w:val="TableParagraph"/>
              <w:ind w:left="58" w:right="55"/>
              <w:rPr>
                <w:sz w:val="24"/>
              </w:rPr>
            </w:pPr>
            <w:r>
              <w:rPr>
                <w:sz w:val="24"/>
              </w:rPr>
              <w:t>Fuente: Prioridad 8 de la Fórmula de Financiamiento y Control Local (LCFF, por sus siglas en inglés): Resultados locales</w:t>
            </w:r>
          </w:p>
          <w:p>
            <w:pPr>
              <w:pStyle w:val="TableParagraph"/>
              <w:ind w:left="58" w:right="122"/>
              <w:rPr>
                <w:sz w:val="24"/>
              </w:rPr>
            </w:pPr>
            <w:r>
              <w:rPr>
                <w:sz w:val="24"/>
              </w:rPr>
              <w:t>Medidas de progreso académico (MAP, por sus siglas en inglés) de "Northwest Evaluation Association" (la Asociación de Evaluación del Noroeste [NWEA, por sus siglas en inglés]) Matemáticas 2° a 8° año</w:t>
            </w:r>
          </w:p>
        </w:tc>
        <w:tc>
          <w:tcPr>
            <w:tcW w:w="2518" w:type="dxa"/>
          </w:tcPr>
          <w:p>
            <w:pPr>
              <w:pStyle w:val="TableParagraph"/>
              <w:spacing w:before="54"/>
              <w:ind w:left="58"/>
              <w:rPr>
                <w:sz w:val="24"/>
              </w:rPr>
            </w:pPr>
            <w:r>
              <w:rPr>
                <w:sz w:val="24"/>
              </w:rPr>
              <w:t>Invierno 2019-20</w:t>
            </w:r>
          </w:p>
          <w:p>
            <w:pPr>
              <w:pStyle w:val="TableParagraph"/>
              <w:ind w:left="58" w:right="172"/>
              <w:rPr>
                <w:sz w:val="24"/>
              </w:rPr>
            </w:pPr>
            <w:r>
              <w:rPr>
                <w:sz w:val="24"/>
              </w:rPr>
              <w:t>2° año: 47% en o por encima</w:t>
            </w:r>
          </w:p>
          <w:p>
            <w:pPr>
              <w:pStyle w:val="TableParagraph"/>
              <w:ind w:left="58" w:right="172"/>
              <w:rPr>
                <w:sz w:val="24"/>
              </w:rPr>
            </w:pPr>
            <w:r>
              <w:rPr>
                <w:sz w:val="24"/>
              </w:rPr>
              <w:t>3° año: 63% en o por encima</w:t>
            </w:r>
          </w:p>
          <w:p>
            <w:pPr>
              <w:pStyle w:val="TableParagraph"/>
              <w:ind w:left="58" w:right="172"/>
              <w:rPr>
                <w:sz w:val="24"/>
              </w:rPr>
            </w:pPr>
            <w:r>
              <w:rPr>
                <w:sz w:val="24"/>
              </w:rPr>
              <w:t>4° año: 57% en o por encima</w:t>
            </w:r>
          </w:p>
          <w:p>
            <w:pPr>
              <w:pStyle w:val="TableParagraph"/>
              <w:ind w:left="58" w:right="172"/>
              <w:rPr>
                <w:sz w:val="24"/>
              </w:rPr>
            </w:pPr>
            <w:r>
              <w:rPr>
                <w:sz w:val="24"/>
              </w:rPr>
              <w:t>5° año: 86% en o por encima</w:t>
            </w:r>
          </w:p>
          <w:p>
            <w:pPr>
              <w:pStyle w:val="TableParagraph"/>
              <w:ind w:left="58" w:right="172"/>
              <w:rPr>
                <w:sz w:val="24"/>
              </w:rPr>
            </w:pPr>
            <w:r>
              <w:rPr>
                <w:sz w:val="24"/>
              </w:rPr>
              <w:t>6° año: 59% en o por encima</w:t>
            </w:r>
          </w:p>
          <w:p>
            <w:pPr>
              <w:pStyle w:val="TableParagraph"/>
              <w:ind w:left="58" w:right="172"/>
              <w:rPr>
                <w:sz w:val="24"/>
              </w:rPr>
            </w:pPr>
            <w:r>
              <w:rPr>
                <w:sz w:val="24"/>
              </w:rPr>
              <w:t>7° año: 30% en o por encima</w:t>
            </w:r>
          </w:p>
          <w:p>
            <w:pPr>
              <w:pStyle w:val="TableParagraph"/>
              <w:ind w:left="58" w:right="172"/>
              <w:rPr>
                <w:sz w:val="24"/>
              </w:rPr>
            </w:pPr>
            <w:r>
              <w:rPr>
                <w:sz w:val="24"/>
              </w:rPr>
              <w:t>8° año: 57% en o por encima</w:t>
            </w:r>
          </w:p>
          <w:p>
            <w:pPr>
              <w:pStyle w:val="TableParagraph"/>
              <w:ind w:left="58" w:right="95"/>
              <w:rPr>
                <w:sz w:val="24"/>
              </w:rPr>
            </w:pPr>
            <w:r>
              <w:rPr>
                <w:sz w:val="24"/>
              </w:rPr>
              <w:t>Puntaje RIT promedio del nivel de año del distrito</w:t>
            </w:r>
          </w:p>
        </w:tc>
        <w:tc>
          <w:tcPr>
            <w:tcW w:w="2519" w:type="dxa"/>
          </w:tcPr>
          <w:p>
            <w:pPr>
              <w:pStyle w:val="TableParagraph"/>
              <w:rPr>
                <w:rFonts w:ascii="Times New Roman"/>
                <w:sz w:val="22"/>
              </w:rPr>
            </w:pPr>
          </w:p>
        </w:tc>
        <w:tc>
          <w:tcPr>
            <w:tcW w:w="2518" w:type="dxa"/>
          </w:tcPr>
          <w:p>
            <w:pPr>
              <w:pStyle w:val="TableParagraph"/>
              <w:rPr>
                <w:rFonts w:ascii="Times New Roman"/>
                <w:sz w:val="22"/>
              </w:rPr>
            </w:pPr>
          </w:p>
        </w:tc>
        <w:tc>
          <w:tcPr>
            <w:tcW w:w="2518" w:type="dxa"/>
          </w:tcPr>
          <w:p>
            <w:pPr>
              <w:pStyle w:val="TableParagraph"/>
              <w:rPr>
                <w:rFonts w:ascii="Times New Roman"/>
                <w:sz w:val="22"/>
              </w:rPr>
            </w:pPr>
          </w:p>
        </w:tc>
        <w:tc>
          <w:tcPr>
            <w:tcW w:w="2519" w:type="dxa"/>
          </w:tcPr>
          <w:p>
            <w:pPr>
              <w:pStyle w:val="TableParagraph"/>
              <w:spacing w:before="54"/>
              <w:ind w:left="57"/>
              <w:rPr>
                <w:sz w:val="24"/>
              </w:rPr>
            </w:pPr>
            <w:r>
              <w:rPr>
                <w:sz w:val="24"/>
              </w:rPr>
              <w:t>Invierno 2023-2024</w:t>
            </w:r>
          </w:p>
          <w:p>
            <w:pPr>
              <w:pStyle w:val="TableParagraph"/>
              <w:ind w:left="57" w:right="174"/>
              <w:rPr>
                <w:sz w:val="24"/>
              </w:rPr>
            </w:pPr>
            <w:r>
              <w:rPr>
                <w:sz w:val="24"/>
              </w:rPr>
              <w:t>2° año: 50% en o por encima</w:t>
            </w:r>
          </w:p>
          <w:p>
            <w:pPr>
              <w:pStyle w:val="TableParagraph"/>
              <w:ind w:left="57" w:right="174"/>
              <w:rPr>
                <w:sz w:val="24"/>
              </w:rPr>
            </w:pPr>
            <w:r>
              <w:rPr>
                <w:sz w:val="24"/>
              </w:rPr>
              <w:t>3° año: 70% en o por encima</w:t>
            </w:r>
          </w:p>
          <w:p>
            <w:pPr>
              <w:pStyle w:val="TableParagraph"/>
              <w:ind w:left="57" w:right="174"/>
              <w:rPr>
                <w:sz w:val="24"/>
              </w:rPr>
            </w:pPr>
            <w:r>
              <w:rPr>
                <w:sz w:val="24"/>
              </w:rPr>
              <w:t>4° año: 65% en o por encima</w:t>
            </w:r>
          </w:p>
          <w:p>
            <w:pPr>
              <w:pStyle w:val="TableParagraph"/>
              <w:ind w:left="57" w:right="174"/>
              <w:rPr>
                <w:sz w:val="24"/>
              </w:rPr>
            </w:pPr>
            <w:r>
              <w:rPr>
                <w:sz w:val="24"/>
              </w:rPr>
              <w:t>5° año: 86% en o por encima</w:t>
            </w:r>
          </w:p>
          <w:p>
            <w:pPr>
              <w:pStyle w:val="TableParagraph"/>
              <w:ind w:left="57" w:right="174"/>
              <w:rPr>
                <w:sz w:val="24"/>
              </w:rPr>
            </w:pPr>
            <w:r>
              <w:rPr>
                <w:sz w:val="24"/>
              </w:rPr>
              <w:t>6° año: 66% en o por encima</w:t>
            </w:r>
          </w:p>
          <w:p>
            <w:pPr>
              <w:pStyle w:val="TableParagraph"/>
              <w:ind w:left="57" w:right="174"/>
              <w:rPr>
                <w:sz w:val="24"/>
              </w:rPr>
            </w:pPr>
            <w:r>
              <w:rPr>
                <w:sz w:val="24"/>
              </w:rPr>
              <w:t>7° año: 35% en o por encima</w:t>
            </w:r>
          </w:p>
          <w:p>
            <w:pPr>
              <w:pStyle w:val="TableParagraph"/>
              <w:ind w:left="57" w:right="174"/>
              <w:rPr>
                <w:sz w:val="24"/>
              </w:rPr>
            </w:pPr>
            <w:r>
              <w:rPr>
                <w:sz w:val="24"/>
              </w:rPr>
              <w:t>8° año: 60% en o por encima</w:t>
            </w:r>
          </w:p>
          <w:p>
            <w:pPr>
              <w:pStyle w:val="TableParagraph"/>
              <w:ind w:left="57" w:right="97"/>
              <w:rPr>
                <w:sz w:val="24"/>
              </w:rPr>
            </w:pPr>
            <w:r>
              <w:rPr>
                <w:sz w:val="24"/>
              </w:rPr>
              <w:t>Puntaje RIT promedio del nivel de año del distrito</w:t>
            </w:r>
          </w:p>
        </w:tc>
      </w:tr>
      <w:tr>
        <w:trPr>
          <w:trHeight w:val="1495" w:hRule="atLeast"/>
        </w:trPr>
        <w:tc>
          <w:tcPr>
            <w:tcW w:w="2518" w:type="dxa"/>
          </w:tcPr>
          <w:p>
            <w:pPr>
              <w:pStyle w:val="TableParagraph"/>
              <w:spacing w:before="54"/>
              <w:ind w:left="58" w:right="202"/>
              <w:rPr>
                <w:sz w:val="24"/>
              </w:rPr>
            </w:pPr>
            <w:r>
              <w:rPr>
                <w:sz w:val="24"/>
              </w:rPr>
              <w:t>Prioridad 4a de la Fórmula de Financiamiento y Control Local (LCFF, por sus siglas en</w:t>
            </w:r>
          </w:p>
        </w:tc>
        <w:tc>
          <w:tcPr>
            <w:tcW w:w="2518" w:type="dxa"/>
          </w:tcPr>
          <w:p>
            <w:pPr>
              <w:pStyle w:val="TableParagraph"/>
              <w:spacing w:before="54"/>
              <w:ind w:left="58" w:right="295"/>
              <w:rPr>
                <w:sz w:val="24"/>
              </w:rPr>
            </w:pPr>
            <w:r>
              <w:rPr>
                <w:sz w:val="24"/>
              </w:rPr>
              <w:t>Interfaz de otoño de 2019</w:t>
            </w:r>
          </w:p>
          <w:p>
            <w:pPr>
              <w:pStyle w:val="TableParagraph"/>
              <w:ind w:left="58"/>
              <w:rPr>
                <w:sz w:val="24"/>
              </w:rPr>
            </w:pPr>
            <w:r>
              <w:rPr>
                <w:sz w:val="24"/>
              </w:rPr>
              <w:t>Todos los</w:t>
            </w:r>
            <w:r>
              <w:rPr>
                <w:spacing w:val="-10"/>
                <w:sz w:val="24"/>
              </w:rPr>
              <w:t> </w:t>
            </w:r>
            <w:r>
              <w:rPr>
                <w:sz w:val="24"/>
              </w:rPr>
              <w:t>alumnos:</w:t>
            </w:r>
          </w:p>
          <w:p>
            <w:pPr>
              <w:pStyle w:val="TableParagraph"/>
              <w:ind w:left="58" w:right="334"/>
              <w:rPr>
                <w:sz w:val="24"/>
              </w:rPr>
            </w:pPr>
            <w:r>
              <w:rPr>
                <w:sz w:val="24"/>
              </w:rPr>
              <w:t>16.2 puntos por encima de la</w:t>
            </w:r>
            <w:r>
              <w:rPr>
                <w:spacing w:val="-12"/>
                <w:sz w:val="24"/>
              </w:rPr>
              <w:t> </w:t>
            </w:r>
            <w:r>
              <w:rPr>
                <w:sz w:val="24"/>
              </w:rPr>
              <w:t>norma</w:t>
            </w:r>
          </w:p>
        </w:tc>
        <w:tc>
          <w:tcPr>
            <w:tcW w:w="2519" w:type="dxa"/>
          </w:tcPr>
          <w:p>
            <w:pPr>
              <w:pStyle w:val="TableParagraph"/>
              <w:rPr>
                <w:rFonts w:ascii="Times New Roman"/>
                <w:sz w:val="22"/>
              </w:rPr>
            </w:pPr>
          </w:p>
        </w:tc>
        <w:tc>
          <w:tcPr>
            <w:tcW w:w="2518" w:type="dxa"/>
          </w:tcPr>
          <w:p>
            <w:pPr>
              <w:pStyle w:val="TableParagraph"/>
              <w:rPr>
                <w:rFonts w:ascii="Times New Roman"/>
                <w:sz w:val="22"/>
              </w:rPr>
            </w:pPr>
          </w:p>
        </w:tc>
        <w:tc>
          <w:tcPr>
            <w:tcW w:w="2518" w:type="dxa"/>
          </w:tcPr>
          <w:p>
            <w:pPr>
              <w:pStyle w:val="TableParagraph"/>
              <w:rPr>
                <w:rFonts w:ascii="Times New Roman"/>
                <w:sz w:val="22"/>
              </w:rPr>
            </w:pPr>
          </w:p>
        </w:tc>
        <w:tc>
          <w:tcPr>
            <w:tcW w:w="2519" w:type="dxa"/>
          </w:tcPr>
          <w:p>
            <w:pPr>
              <w:pStyle w:val="TableParagraph"/>
              <w:spacing w:before="54"/>
              <w:ind w:left="57" w:right="297"/>
              <w:rPr>
                <w:sz w:val="24"/>
              </w:rPr>
            </w:pPr>
            <w:r>
              <w:rPr>
                <w:sz w:val="24"/>
              </w:rPr>
              <w:t>Interfaz de otoño de 2021</w:t>
            </w:r>
          </w:p>
          <w:p>
            <w:pPr>
              <w:pStyle w:val="TableParagraph"/>
              <w:ind w:left="57"/>
              <w:rPr>
                <w:sz w:val="24"/>
              </w:rPr>
            </w:pPr>
            <w:r>
              <w:rPr>
                <w:sz w:val="24"/>
              </w:rPr>
              <w:t>Todos los</w:t>
            </w:r>
            <w:r>
              <w:rPr>
                <w:spacing w:val="-10"/>
                <w:sz w:val="24"/>
              </w:rPr>
              <w:t> </w:t>
            </w:r>
            <w:r>
              <w:rPr>
                <w:sz w:val="24"/>
              </w:rPr>
              <w:t>alumnos:</w:t>
            </w:r>
          </w:p>
          <w:p>
            <w:pPr>
              <w:pStyle w:val="TableParagraph"/>
              <w:ind w:left="57" w:right="336"/>
              <w:rPr>
                <w:sz w:val="24"/>
              </w:rPr>
            </w:pPr>
            <w:r>
              <w:rPr>
                <w:sz w:val="24"/>
              </w:rPr>
              <w:t>16.2 puntos por encima de la</w:t>
            </w:r>
            <w:r>
              <w:rPr>
                <w:spacing w:val="-12"/>
                <w:sz w:val="24"/>
              </w:rPr>
              <w:t> </w:t>
            </w:r>
            <w:r>
              <w:rPr>
                <w:sz w:val="24"/>
              </w:rPr>
              <w:t>norma</w:t>
            </w:r>
          </w:p>
        </w:tc>
      </w:tr>
    </w:tbl>
    <w:p>
      <w:pPr>
        <w:spacing w:after="0"/>
        <w:rPr>
          <w:sz w:val="24"/>
        </w:rPr>
        <w:sectPr>
          <w:pgSz w:w="15840" w:h="12240" w:orient="landscape"/>
          <w:pgMar w:header="0" w:footer="284" w:top="640" w:bottom="480" w:left="120" w:right="120"/>
        </w:sectPr>
      </w:pPr>
    </w:p>
    <w:tbl>
      <w:tblPr>
        <w:tblW w:w="0" w:type="auto"/>
        <w:jc w:val="left"/>
        <w:tblInd w:w="250"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ayout w:type="fixed"/>
        <w:tblCellMar>
          <w:top w:w="0" w:type="dxa"/>
          <w:left w:w="0" w:type="dxa"/>
          <w:bottom w:w="0" w:type="dxa"/>
          <w:right w:w="0" w:type="dxa"/>
        </w:tblCellMar>
        <w:tblLook w:val="01E0"/>
      </w:tblPr>
      <w:tblGrid>
        <w:gridCol w:w="2518"/>
        <w:gridCol w:w="2518"/>
        <w:gridCol w:w="2519"/>
        <w:gridCol w:w="2518"/>
        <w:gridCol w:w="2518"/>
        <w:gridCol w:w="2519"/>
      </w:tblGrid>
      <w:tr>
        <w:trPr>
          <w:trHeight w:val="667" w:hRule="atLeast"/>
        </w:trPr>
        <w:tc>
          <w:tcPr>
            <w:tcW w:w="2518" w:type="dxa"/>
            <w:shd w:val="clear" w:color="auto" w:fill="DBE5F1"/>
          </w:tcPr>
          <w:p>
            <w:pPr>
              <w:pStyle w:val="TableParagraph"/>
              <w:spacing w:before="192"/>
              <w:ind w:left="845" w:right="835"/>
              <w:jc w:val="center"/>
              <w:rPr>
                <w:sz w:val="24"/>
              </w:rPr>
            </w:pPr>
            <w:r>
              <w:rPr>
                <w:sz w:val="24"/>
              </w:rPr>
              <w:t>Medida</w:t>
            </w:r>
          </w:p>
        </w:tc>
        <w:tc>
          <w:tcPr>
            <w:tcW w:w="2518" w:type="dxa"/>
            <w:shd w:val="clear" w:color="auto" w:fill="DBE5F1"/>
          </w:tcPr>
          <w:p>
            <w:pPr>
              <w:pStyle w:val="TableParagraph"/>
              <w:spacing w:before="192"/>
              <w:ind w:left="732"/>
              <w:rPr>
                <w:sz w:val="24"/>
              </w:rPr>
            </w:pPr>
            <w:r>
              <w:rPr>
                <w:sz w:val="24"/>
              </w:rPr>
              <w:t>Referente</w:t>
            </w:r>
          </w:p>
        </w:tc>
        <w:tc>
          <w:tcPr>
            <w:tcW w:w="2519" w:type="dxa"/>
            <w:shd w:val="clear" w:color="auto" w:fill="DBE5F1"/>
          </w:tcPr>
          <w:p>
            <w:pPr>
              <w:pStyle w:val="TableParagraph"/>
              <w:spacing w:before="192"/>
              <w:ind w:left="178"/>
              <w:rPr>
                <w:sz w:val="24"/>
              </w:rPr>
            </w:pPr>
            <w:r>
              <w:rPr>
                <w:sz w:val="24"/>
              </w:rPr>
              <w:t>Resultado del Año 1</w:t>
            </w:r>
          </w:p>
        </w:tc>
        <w:tc>
          <w:tcPr>
            <w:tcW w:w="2518" w:type="dxa"/>
            <w:shd w:val="clear" w:color="auto" w:fill="DBE5F1"/>
          </w:tcPr>
          <w:p>
            <w:pPr>
              <w:pStyle w:val="TableParagraph"/>
              <w:spacing w:before="192"/>
              <w:ind w:left="178"/>
              <w:rPr>
                <w:sz w:val="24"/>
              </w:rPr>
            </w:pPr>
            <w:r>
              <w:rPr>
                <w:sz w:val="24"/>
              </w:rPr>
              <w:t>Resultado del Año 2</w:t>
            </w:r>
          </w:p>
        </w:tc>
        <w:tc>
          <w:tcPr>
            <w:tcW w:w="2518" w:type="dxa"/>
            <w:shd w:val="clear" w:color="auto" w:fill="DBE5F1"/>
          </w:tcPr>
          <w:p>
            <w:pPr>
              <w:pStyle w:val="TableParagraph"/>
              <w:spacing w:before="192"/>
              <w:ind w:left="178"/>
              <w:rPr>
                <w:sz w:val="24"/>
              </w:rPr>
            </w:pPr>
            <w:r>
              <w:rPr>
                <w:sz w:val="24"/>
              </w:rPr>
              <w:t>Resultado del Año 3</w:t>
            </w:r>
          </w:p>
        </w:tc>
        <w:tc>
          <w:tcPr>
            <w:tcW w:w="2519" w:type="dxa"/>
            <w:shd w:val="clear" w:color="auto" w:fill="DBE5F1"/>
          </w:tcPr>
          <w:p>
            <w:pPr>
              <w:pStyle w:val="TableParagraph"/>
              <w:spacing w:before="54"/>
              <w:ind w:left="518" w:right="176" w:hanging="314"/>
              <w:rPr>
                <w:sz w:val="24"/>
              </w:rPr>
            </w:pPr>
            <w:r>
              <w:rPr>
                <w:sz w:val="24"/>
              </w:rPr>
              <w:t>Resultado Deseado para 2023–24</w:t>
            </w:r>
          </w:p>
        </w:tc>
      </w:tr>
      <w:tr>
        <w:trPr>
          <w:trHeight w:val="332" w:hRule="atLeast"/>
        </w:trPr>
        <w:tc>
          <w:tcPr>
            <w:tcW w:w="2518" w:type="dxa"/>
            <w:tcBorders>
              <w:bottom w:val="nil"/>
            </w:tcBorders>
          </w:tcPr>
          <w:p>
            <w:pPr>
              <w:pStyle w:val="TableParagraph"/>
              <w:spacing w:line="259" w:lineRule="exact" w:before="54"/>
              <w:ind w:left="58"/>
              <w:rPr>
                <w:sz w:val="24"/>
              </w:rPr>
            </w:pPr>
            <w:r>
              <w:rPr>
                <w:sz w:val="24"/>
              </w:rPr>
              <w:t>inglés): Evaluaciones</w:t>
            </w:r>
          </w:p>
        </w:tc>
        <w:tc>
          <w:tcPr>
            <w:tcW w:w="2518" w:type="dxa"/>
            <w:tcBorders>
              <w:bottom w:val="nil"/>
            </w:tcBorders>
          </w:tcPr>
          <w:p>
            <w:pPr>
              <w:pStyle w:val="TableParagraph"/>
              <w:spacing w:line="259" w:lineRule="exact" w:before="54"/>
              <w:ind w:left="58"/>
              <w:rPr>
                <w:sz w:val="24"/>
              </w:rPr>
            </w:pPr>
            <w:r>
              <w:rPr>
                <w:sz w:val="24"/>
              </w:rPr>
              <w:t>Aumentó 6.7 puntos</w:t>
            </w:r>
          </w:p>
        </w:tc>
        <w:tc>
          <w:tcPr>
            <w:tcW w:w="2519" w:type="dxa"/>
            <w:vMerge w:val="restart"/>
          </w:tcPr>
          <w:p>
            <w:pPr>
              <w:pStyle w:val="TableParagraph"/>
              <w:rPr>
                <w:rFonts w:ascii="Times New Roman"/>
                <w:sz w:val="22"/>
              </w:rPr>
            </w:pPr>
          </w:p>
        </w:tc>
        <w:tc>
          <w:tcPr>
            <w:tcW w:w="2518" w:type="dxa"/>
            <w:vMerge w:val="restart"/>
          </w:tcPr>
          <w:p>
            <w:pPr>
              <w:pStyle w:val="TableParagraph"/>
              <w:rPr>
                <w:rFonts w:ascii="Times New Roman"/>
                <w:sz w:val="22"/>
              </w:rPr>
            </w:pPr>
          </w:p>
        </w:tc>
        <w:tc>
          <w:tcPr>
            <w:tcW w:w="2518" w:type="dxa"/>
            <w:vMerge w:val="restart"/>
          </w:tcPr>
          <w:p>
            <w:pPr>
              <w:pStyle w:val="TableParagraph"/>
              <w:rPr>
                <w:rFonts w:ascii="Times New Roman"/>
                <w:sz w:val="22"/>
              </w:rPr>
            </w:pPr>
          </w:p>
        </w:tc>
        <w:tc>
          <w:tcPr>
            <w:tcW w:w="2519" w:type="dxa"/>
            <w:tcBorders>
              <w:bottom w:val="nil"/>
            </w:tcBorders>
          </w:tcPr>
          <w:p>
            <w:pPr>
              <w:pStyle w:val="TableParagraph"/>
              <w:spacing w:line="259" w:lineRule="exact" w:before="54"/>
              <w:ind w:left="57"/>
              <w:rPr>
                <w:sz w:val="24"/>
              </w:rPr>
            </w:pPr>
            <w:r>
              <w:rPr>
                <w:sz w:val="24"/>
              </w:rPr>
              <w:t>Se mantuvo</w:t>
            </w:r>
          </w:p>
        </w:tc>
      </w:tr>
      <w:tr>
        <w:trPr>
          <w:trHeight w:val="265" w:hRule="atLeast"/>
        </w:trPr>
        <w:tc>
          <w:tcPr>
            <w:tcW w:w="2518" w:type="dxa"/>
            <w:tcBorders>
              <w:top w:val="nil"/>
              <w:bottom w:val="nil"/>
            </w:tcBorders>
          </w:tcPr>
          <w:p>
            <w:pPr>
              <w:pStyle w:val="TableParagraph"/>
              <w:spacing w:line="246" w:lineRule="exact"/>
              <w:ind w:left="58"/>
              <w:rPr>
                <w:sz w:val="24"/>
              </w:rPr>
            </w:pPr>
            <w:r>
              <w:rPr>
                <w:sz w:val="24"/>
              </w:rPr>
              <w:t>estatales</w:t>
            </w:r>
          </w:p>
        </w:tc>
        <w:tc>
          <w:tcPr>
            <w:tcW w:w="2518" w:type="dxa"/>
            <w:tcBorders>
              <w:top w:val="nil"/>
              <w:bottom w:val="nil"/>
            </w:tcBorders>
          </w:tcPr>
          <w:p>
            <w:pPr>
              <w:pStyle w:val="TableParagraph"/>
              <w:spacing w:line="246" w:lineRule="exact"/>
              <w:ind w:left="58"/>
              <w:rPr>
                <w:sz w:val="24"/>
              </w:rPr>
            </w:pPr>
            <w:r>
              <w:rPr>
                <w:sz w:val="24"/>
              </w:rPr>
              <w:t>Alumnos en</w:t>
            </w:r>
          </w:p>
        </w:tc>
        <w:tc>
          <w:tcPr>
            <w:tcW w:w="2519" w:type="dxa"/>
            <w:vMerge/>
            <w:tcBorders>
              <w:top w:val="nil"/>
            </w:tcBorders>
          </w:tcPr>
          <w:p>
            <w:pPr>
              <w:rPr>
                <w:sz w:val="2"/>
                <w:szCs w:val="2"/>
              </w:rPr>
            </w:pPr>
          </w:p>
        </w:tc>
        <w:tc>
          <w:tcPr>
            <w:tcW w:w="2518" w:type="dxa"/>
            <w:vMerge/>
            <w:tcBorders>
              <w:top w:val="nil"/>
            </w:tcBorders>
          </w:tcPr>
          <w:p>
            <w:pPr>
              <w:rPr>
                <w:sz w:val="2"/>
                <w:szCs w:val="2"/>
              </w:rPr>
            </w:pPr>
          </w:p>
        </w:tc>
        <w:tc>
          <w:tcPr>
            <w:tcW w:w="2518" w:type="dxa"/>
            <w:vMerge/>
            <w:tcBorders>
              <w:top w:val="nil"/>
            </w:tcBorders>
          </w:tcPr>
          <w:p>
            <w:pPr>
              <w:rPr>
                <w:sz w:val="2"/>
                <w:szCs w:val="2"/>
              </w:rPr>
            </w:pPr>
          </w:p>
        </w:tc>
        <w:tc>
          <w:tcPr>
            <w:tcW w:w="2519" w:type="dxa"/>
            <w:tcBorders>
              <w:top w:val="nil"/>
              <w:bottom w:val="nil"/>
            </w:tcBorders>
          </w:tcPr>
          <w:p>
            <w:pPr>
              <w:pStyle w:val="TableParagraph"/>
              <w:spacing w:line="246" w:lineRule="exact"/>
              <w:ind w:left="57"/>
              <w:rPr>
                <w:sz w:val="24"/>
              </w:rPr>
            </w:pPr>
            <w:r>
              <w:rPr>
                <w:sz w:val="24"/>
              </w:rPr>
              <w:t>Alumnos en</w:t>
            </w:r>
          </w:p>
        </w:tc>
      </w:tr>
      <w:tr>
        <w:trPr>
          <w:trHeight w:val="265" w:hRule="atLeast"/>
        </w:trPr>
        <w:tc>
          <w:tcPr>
            <w:tcW w:w="2518" w:type="dxa"/>
            <w:tcBorders>
              <w:top w:val="nil"/>
              <w:bottom w:val="nil"/>
            </w:tcBorders>
          </w:tcPr>
          <w:p>
            <w:pPr>
              <w:pStyle w:val="TableParagraph"/>
              <w:spacing w:line="246" w:lineRule="exact"/>
              <w:ind w:left="58"/>
              <w:rPr>
                <w:sz w:val="24"/>
              </w:rPr>
            </w:pPr>
            <w:r>
              <w:rPr>
                <w:sz w:val="24"/>
              </w:rPr>
              <w:t>Fuente: Indicador</w:t>
            </w:r>
          </w:p>
        </w:tc>
        <w:tc>
          <w:tcPr>
            <w:tcW w:w="2518" w:type="dxa"/>
            <w:tcBorders>
              <w:top w:val="nil"/>
              <w:bottom w:val="nil"/>
            </w:tcBorders>
          </w:tcPr>
          <w:p>
            <w:pPr>
              <w:pStyle w:val="TableParagraph"/>
              <w:spacing w:line="246" w:lineRule="exact"/>
              <w:ind w:left="58"/>
              <w:rPr>
                <w:sz w:val="24"/>
              </w:rPr>
            </w:pPr>
            <w:r>
              <w:rPr>
                <w:sz w:val="24"/>
              </w:rPr>
              <w:t>desventaja</w:t>
            </w:r>
          </w:p>
        </w:tc>
        <w:tc>
          <w:tcPr>
            <w:tcW w:w="2519" w:type="dxa"/>
            <w:vMerge/>
            <w:tcBorders>
              <w:top w:val="nil"/>
            </w:tcBorders>
          </w:tcPr>
          <w:p>
            <w:pPr>
              <w:rPr>
                <w:sz w:val="2"/>
                <w:szCs w:val="2"/>
              </w:rPr>
            </w:pPr>
          </w:p>
        </w:tc>
        <w:tc>
          <w:tcPr>
            <w:tcW w:w="2518" w:type="dxa"/>
            <w:vMerge/>
            <w:tcBorders>
              <w:top w:val="nil"/>
            </w:tcBorders>
          </w:tcPr>
          <w:p>
            <w:pPr>
              <w:rPr>
                <w:sz w:val="2"/>
                <w:szCs w:val="2"/>
              </w:rPr>
            </w:pPr>
          </w:p>
        </w:tc>
        <w:tc>
          <w:tcPr>
            <w:tcW w:w="2518" w:type="dxa"/>
            <w:vMerge/>
            <w:tcBorders>
              <w:top w:val="nil"/>
            </w:tcBorders>
          </w:tcPr>
          <w:p>
            <w:pPr>
              <w:rPr>
                <w:sz w:val="2"/>
                <w:szCs w:val="2"/>
              </w:rPr>
            </w:pPr>
          </w:p>
        </w:tc>
        <w:tc>
          <w:tcPr>
            <w:tcW w:w="2519" w:type="dxa"/>
            <w:tcBorders>
              <w:top w:val="nil"/>
              <w:bottom w:val="nil"/>
            </w:tcBorders>
          </w:tcPr>
          <w:p>
            <w:pPr>
              <w:pStyle w:val="TableParagraph"/>
              <w:spacing w:line="246" w:lineRule="exact"/>
              <w:ind w:left="57"/>
              <w:rPr>
                <w:sz w:val="24"/>
              </w:rPr>
            </w:pPr>
            <w:r>
              <w:rPr>
                <w:sz w:val="24"/>
              </w:rPr>
              <w:t>desventaja</w:t>
            </w:r>
          </w:p>
        </w:tc>
      </w:tr>
      <w:tr>
        <w:trPr>
          <w:trHeight w:val="265" w:hRule="atLeast"/>
        </w:trPr>
        <w:tc>
          <w:tcPr>
            <w:tcW w:w="2518" w:type="dxa"/>
            <w:tcBorders>
              <w:top w:val="nil"/>
              <w:bottom w:val="nil"/>
            </w:tcBorders>
          </w:tcPr>
          <w:p>
            <w:pPr>
              <w:pStyle w:val="TableParagraph"/>
              <w:spacing w:line="246" w:lineRule="exact"/>
              <w:ind w:left="58"/>
              <w:rPr>
                <w:sz w:val="24"/>
              </w:rPr>
            </w:pPr>
            <w:r>
              <w:rPr>
                <w:sz w:val="24"/>
              </w:rPr>
              <w:t>Académico de la</w:t>
            </w:r>
          </w:p>
        </w:tc>
        <w:tc>
          <w:tcPr>
            <w:tcW w:w="2518" w:type="dxa"/>
            <w:tcBorders>
              <w:top w:val="nil"/>
              <w:bottom w:val="nil"/>
            </w:tcBorders>
          </w:tcPr>
          <w:p>
            <w:pPr>
              <w:pStyle w:val="TableParagraph"/>
              <w:spacing w:line="246" w:lineRule="exact"/>
              <w:ind w:left="58"/>
              <w:rPr>
                <w:sz w:val="24"/>
              </w:rPr>
            </w:pPr>
            <w:r>
              <w:rPr>
                <w:sz w:val="24"/>
              </w:rPr>
              <w:t>socioeconómica: 1.6</w:t>
            </w:r>
          </w:p>
        </w:tc>
        <w:tc>
          <w:tcPr>
            <w:tcW w:w="2519" w:type="dxa"/>
            <w:vMerge/>
            <w:tcBorders>
              <w:top w:val="nil"/>
            </w:tcBorders>
          </w:tcPr>
          <w:p>
            <w:pPr>
              <w:rPr>
                <w:sz w:val="2"/>
                <w:szCs w:val="2"/>
              </w:rPr>
            </w:pPr>
          </w:p>
        </w:tc>
        <w:tc>
          <w:tcPr>
            <w:tcW w:w="2518" w:type="dxa"/>
            <w:vMerge/>
            <w:tcBorders>
              <w:top w:val="nil"/>
            </w:tcBorders>
          </w:tcPr>
          <w:p>
            <w:pPr>
              <w:rPr>
                <w:sz w:val="2"/>
                <w:szCs w:val="2"/>
              </w:rPr>
            </w:pPr>
          </w:p>
        </w:tc>
        <w:tc>
          <w:tcPr>
            <w:tcW w:w="2518" w:type="dxa"/>
            <w:vMerge/>
            <w:tcBorders>
              <w:top w:val="nil"/>
            </w:tcBorders>
          </w:tcPr>
          <w:p>
            <w:pPr>
              <w:rPr>
                <w:sz w:val="2"/>
                <w:szCs w:val="2"/>
              </w:rPr>
            </w:pPr>
          </w:p>
        </w:tc>
        <w:tc>
          <w:tcPr>
            <w:tcW w:w="2519" w:type="dxa"/>
            <w:tcBorders>
              <w:top w:val="nil"/>
              <w:bottom w:val="nil"/>
            </w:tcBorders>
          </w:tcPr>
          <w:p>
            <w:pPr>
              <w:pStyle w:val="TableParagraph"/>
              <w:spacing w:line="246" w:lineRule="exact"/>
              <w:ind w:left="57"/>
              <w:rPr>
                <w:sz w:val="24"/>
              </w:rPr>
            </w:pPr>
            <w:r>
              <w:rPr>
                <w:sz w:val="24"/>
              </w:rPr>
              <w:t>socioeconómica: 1.6</w:t>
            </w:r>
          </w:p>
        </w:tc>
      </w:tr>
      <w:tr>
        <w:trPr>
          <w:trHeight w:val="265" w:hRule="atLeast"/>
        </w:trPr>
        <w:tc>
          <w:tcPr>
            <w:tcW w:w="2518" w:type="dxa"/>
            <w:tcBorders>
              <w:top w:val="nil"/>
              <w:bottom w:val="nil"/>
            </w:tcBorders>
          </w:tcPr>
          <w:p>
            <w:pPr>
              <w:pStyle w:val="TableParagraph"/>
              <w:spacing w:line="246" w:lineRule="exact"/>
              <w:ind w:left="58"/>
              <w:rPr>
                <w:sz w:val="24"/>
              </w:rPr>
            </w:pPr>
            <w:r>
              <w:rPr>
                <w:sz w:val="24"/>
              </w:rPr>
              <w:t>Interfaz de datos</w:t>
            </w:r>
          </w:p>
        </w:tc>
        <w:tc>
          <w:tcPr>
            <w:tcW w:w="2518" w:type="dxa"/>
            <w:tcBorders>
              <w:top w:val="nil"/>
              <w:bottom w:val="nil"/>
            </w:tcBorders>
          </w:tcPr>
          <w:p>
            <w:pPr>
              <w:pStyle w:val="TableParagraph"/>
              <w:spacing w:line="246" w:lineRule="exact"/>
              <w:ind w:left="58"/>
              <w:rPr>
                <w:sz w:val="24"/>
              </w:rPr>
            </w:pPr>
            <w:r>
              <w:rPr>
                <w:sz w:val="24"/>
              </w:rPr>
              <w:t>puntos por encima de</w:t>
            </w:r>
          </w:p>
        </w:tc>
        <w:tc>
          <w:tcPr>
            <w:tcW w:w="2519" w:type="dxa"/>
            <w:vMerge/>
            <w:tcBorders>
              <w:top w:val="nil"/>
            </w:tcBorders>
          </w:tcPr>
          <w:p>
            <w:pPr>
              <w:rPr>
                <w:sz w:val="2"/>
                <w:szCs w:val="2"/>
              </w:rPr>
            </w:pPr>
          </w:p>
        </w:tc>
        <w:tc>
          <w:tcPr>
            <w:tcW w:w="2518" w:type="dxa"/>
            <w:vMerge/>
            <w:tcBorders>
              <w:top w:val="nil"/>
            </w:tcBorders>
          </w:tcPr>
          <w:p>
            <w:pPr>
              <w:rPr>
                <w:sz w:val="2"/>
                <w:szCs w:val="2"/>
              </w:rPr>
            </w:pPr>
          </w:p>
        </w:tc>
        <w:tc>
          <w:tcPr>
            <w:tcW w:w="2518" w:type="dxa"/>
            <w:vMerge/>
            <w:tcBorders>
              <w:top w:val="nil"/>
            </w:tcBorders>
          </w:tcPr>
          <w:p>
            <w:pPr>
              <w:rPr>
                <w:sz w:val="2"/>
                <w:szCs w:val="2"/>
              </w:rPr>
            </w:pPr>
          </w:p>
        </w:tc>
        <w:tc>
          <w:tcPr>
            <w:tcW w:w="2519" w:type="dxa"/>
            <w:tcBorders>
              <w:top w:val="nil"/>
              <w:bottom w:val="nil"/>
            </w:tcBorders>
          </w:tcPr>
          <w:p>
            <w:pPr>
              <w:pStyle w:val="TableParagraph"/>
              <w:spacing w:line="246" w:lineRule="exact"/>
              <w:ind w:left="57"/>
              <w:rPr>
                <w:sz w:val="24"/>
              </w:rPr>
            </w:pPr>
            <w:r>
              <w:rPr>
                <w:sz w:val="24"/>
              </w:rPr>
              <w:t>puntos por encima de</w:t>
            </w:r>
          </w:p>
        </w:tc>
      </w:tr>
      <w:tr>
        <w:trPr>
          <w:trHeight w:val="265" w:hRule="atLeast"/>
        </w:trPr>
        <w:tc>
          <w:tcPr>
            <w:tcW w:w="2518" w:type="dxa"/>
            <w:tcBorders>
              <w:top w:val="nil"/>
              <w:bottom w:val="nil"/>
            </w:tcBorders>
          </w:tcPr>
          <w:p>
            <w:pPr>
              <w:pStyle w:val="TableParagraph"/>
              <w:spacing w:line="246" w:lineRule="exact"/>
              <w:ind w:left="58"/>
              <w:rPr>
                <w:sz w:val="24"/>
              </w:rPr>
            </w:pPr>
            <w:r>
              <w:rPr>
                <w:sz w:val="24"/>
              </w:rPr>
              <w:t>escolares de</w:t>
            </w:r>
          </w:p>
        </w:tc>
        <w:tc>
          <w:tcPr>
            <w:tcW w:w="2518" w:type="dxa"/>
            <w:tcBorders>
              <w:top w:val="nil"/>
              <w:bottom w:val="nil"/>
            </w:tcBorders>
          </w:tcPr>
          <w:p>
            <w:pPr>
              <w:pStyle w:val="TableParagraph"/>
              <w:spacing w:line="246" w:lineRule="exact"/>
              <w:ind w:left="58"/>
              <w:rPr>
                <w:sz w:val="24"/>
              </w:rPr>
            </w:pPr>
            <w:r>
              <w:rPr>
                <w:sz w:val="24"/>
              </w:rPr>
              <w:t>la norma</w:t>
            </w:r>
          </w:p>
        </w:tc>
        <w:tc>
          <w:tcPr>
            <w:tcW w:w="2519" w:type="dxa"/>
            <w:vMerge/>
            <w:tcBorders>
              <w:top w:val="nil"/>
            </w:tcBorders>
          </w:tcPr>
          <w:p>
            <w:pPr>
              <w:rPr>
                <w:sz w:val="2"/>
                <w:szCs w:val="2"/>
              </w:rPr>
            </w:pPr>
          </w:p>
        </w:tc>
        <w:tc>
          <w:tcPr>
            <w:tcW w:w="2518" w:type="dxa"/>
            <w:vMerge/>
            <w:tcBorders>
              <w:top w:val="nil"/>
            </w:tcBorders>
          </w:tcPr>
          <w:p>
            <w:pPr>
              <w:rPr>
                <w:sz w:val="2"/>
                <w:szCs w:val="2"/>
              </w:rPr>
            </w:pPr>
          </w:p>
        </w:tc>
        <w:tc>
          <w:tcPr>
            <w:tcW w:w="2518" w:type="dxa"/>
            <w:vMerge/>
            <w:tcBorders>
              <w:top w:val="nil"/>
            </w:tcBorders>
          </w:tcPr>
          <w:p>
            <w:pPr>
              <w:rPr>
                <w:sz w:val="2"/>
                <w:szCs w:val="2"/>
              </w:rPr>
            </w:pPr>
          </w:p>
        </w:tc>
        <w:tc>
          <w:tcPr>
            <w:tcW w:w="2519" w:type="dxa"/>
            <w:tcBorders>
              <w:top w:val="nil"/>
              <w:bottom w:val="nil"/>
            </w:tcBorders>
          </w:tcPr>
          <w:p>
            <w:pPr>
              <w:pStyle w:val="TableParagraph"/>
              <w:spacing w:line="246" w:lineRule="exact"/>
              <w:ind w:left="57"/>
              <w:rPr>
                <w:sz w:val="24"/>
              </w:rPr>
            </w:pPr>
            <w:r>
              <w:rPr>
                <w:sz w:val="24"/>
              </w:rPr>
              <w:t>la norma</w:t>
            </w:r>
          </w:p>
        </w:tc>
      </w:tr>
      <w:tr>
        <w:trPr>
          <w:trHeight w:val="265" w:hRule="atLeast"/>
        </w:trPr>
        <w:tc>
          <w:tcPr>
            <w:tcW w:w="2518" w:type="dxa"/>
            <w:tcBorders>
              <w:top w:val="nil"/>
              <w:bottom w:val="nil"/>
            </w:tcBorders>
          </w:tcPr>
          <w:p>
            <w:pPr>
              <w:pStyle w:val="TableParagraph"/>
              <w:spacing w:line="246" w:lineRule="exact"/>
              <w:ind w:left="58"/>
              <w:rPr>
                <w:sz w:val="24"/>
              </w:rPr>
            </w:pPr>
            <w:r>
              <w:rPr>
                <w:sz w:val="24"/>
              </w:rPr>
              <w:t>California para artes</w:t>
            </w:r>
          </w:p>
        </w:tc>
        <w:tc>
          <w:tcPr>
            <w:tcW w:w="2518" w:type="dxa"/>
            <w:tcBorders>
              <w:top w:val="nil"/>
              <w:bottom w:val="nil"/>
            </w:tcBorders>
          </w:tcPr>
          <w:p>
            <w:pPr>
              <w:pStyle w:val="TableParagraph"/>
              <w:spacing w:line="246" w:lineRule="exact"/>
              <w:ind w:left="58"/>
              <w:rPr>
                <w:sz w:val="24"/>
              </w:rPr>
            </w:pPr>
            <w:r>
              <w:rPr>
                <w:sz w:val="24"/>
              </w:rPr>
              <w:t>Disminuyó 3.8 puntos</w:t>
            </w:r>
          </w:p>
        </w:tc>
        <w:tc>
          <w:tcPr>
            <w:tcW w:w="2519" w:type="dxa"/>
            <w:vMerge/>
            <w:tcBorders>
              <w:top w:val="nil"/>
            </w:tcBorders>
          </w:tcPr>
          <w:p>
            <w:pPr>
              <w:rPr>
                <w:sz w:val="2"/>
                <w:szCs w:val="2"/>
              </w:rPr>
            </w:pPr>
          </w:p>
        </w:tc>
        <w:tc>
          <w:tcPr>
            <w:tcW w:w="2518" w:type="dxa"/>
            <w:vMerge/>
            <w:tcBorders>
              <w:top w:val="nil"/>
            </w:tcBorders>
          </w:tcPr>
          <w:p>
            <w:pPr>
              <w:rPr>
                <w:sz w:val="2"/>
                <w:szCs w:val="2"/>
              </w:rPr>
            </w:pPr>
          </w:p>
        </w:tc>
        <w:tc>
          <w:tcPr>
            <w:tcW w:w="2518" w:type="dxa"/>
            <w:vMerge/>
            <w:tcBorders>
              <w:top w:val="nil"/>
            </w:tcBorders>
          </w:tcPr>
          <w:p>
            <w:pPr>
              <w:rPr>
                <w:sz w:val="2"/>
                <w:szCs w:val="2"/>
              </w:rPr>
            </w:pPr>
          </w:p>
        </w:tc>
        <w:tc>
          <w:tcPr>
            <w:tcW w:w="2519" w:type="dxa"/>
            <w:tcBorders>
              <w:top w:val="nil"/>
              <w:bottom w:val="nil"/>
            </w:tcBorders>
          </w:tcPr>
          <w:p>
            <w:pPr>
              <w:pStyle w:val="TableParagraph"/>
              <w:spacing w:line="246" w:lineRule="exact"/>
              <w:ind w:left="57"/>
              <w:rPr>
                <w:sz w:val="24"/>
              </w:rPr>
            </w:pPr>
            <w:r>
              <w:rPr>
                <w:sz w:val="24"/>
              </w:rPr>
              <w:t>Se mantuvo</w:t>
            </w:r>
          </w:p>
        </w:tc>
      </w:tr>
      <w:tr>
        <w:trPr>
          <w:trHeight w:val="265" w:hRule="atLeast"/>
        </w:trPr>
        <w:tc>
          <w:tcPr>
            <w:tcW w:w="2518" w:type="dxa"/>
            <w:tcBorders>
              <w:top w:val="nil"/>
              <w:bottom w:val="nil"/>
            </w:tcBorders>
          </w:tcPr>
          <w:p>
            <w:pPr>
              <w:pStyle w:val="TableParagraph"/>
              <w:spacing w:line="246" w:lineRule="exact"/>
              <w:ind w:left="58"/>
              <w:rPr>
                <w:sz w:val="24"/>
              </w:rPr>
            </w:pPr>
            <w:r>
              <w:rPr>
                <w:sz w:val="24"/>
              </w:rPr>
              <w:t>lingüísticas en inglés</w:t>
            </w:r>
          </w:p>
        </w:tc>
        <w:tc>
          <w:tcPr>
            <w:tcW w:w="2518" w:type="dxa"/>
            <w:tcBorders>
              <w:top w:val="nil"/>
              <w:bottom w:val="nil"/>
            </w:tcBorders>
          </w:tcPr>
          <w:p>
            <w:pPr>
              <w:pStyle w:val="TableParagraph"/>
              <w:spacing w:line="246" w:lineRule="exact"/>
              <w:ind w:left="58"/>
              <w:rPr>
                <w:sz w:val="24"/>
              </w:rPr>
            </w:pPr>
            <w:r>
              <w:rPr>
                <w:sz w:val="24"/>
              </w:rPr>
              <w:t>Educación Especial:</w:t>
            </w:r>
          </w:p>
        </w:tc>
        <w:tc>
          <w:tcPr>
            <w:tcW w:w="2519" w:type="dxa"/>
            <w:vMerge/>
            <w:tcBorders>
              <w:top w:val="nil"/>
            </w:tcBorders>
          </w:tcPr>
          <w:p>
            <w:pPr>
              <w:rPr>
                <w:sz w:val="2"/>
                <w:szCs w:val="2"/>
              </w:rPr>
            </w:pPr>
          </w:p>
        </w:tc>
        <w:tc>
          <w:tcPr>
            <w:tcW w:w="2518" w:type="dxa"/>
            <w:vMerge/>
            <w:tcBorders>
              <w:top w:val="nil"/>
            </w:tcBorders>
          </w:tcPr>
          <w:p>
            <w:pPr>
              <w:rPr>
                <w:sz w:val="2"/>
                <w:szCs w:val="2"/>
              </w:rPr>
            </w:pPr>
          </w:p>
        </w:tc>
        <w:tc>
          <w:tcPr>
            <w:tcW w:w="2518" w:type="dxa"/>
            <w:vMerge/>
            <w:tcBorders>
              <w:top w:val="nil"/>
            </w:tcBorders>
          </w:tcPr>
          <w:p>
            <w:pPr>
              <w:rPr>
                <w:sz w:val="2"/>
                <w:szCs w:val="2"/>
              </w:rPr>
            </w:pPr>
          </w:p>
        </w:tc>
        <w:tc>
          <w:tcPr>
            <w:tcW w:w="2519" w:type="dxa"/>
            <w:tcBorders>
              <w:top w:val="nil"/>
              <w:bottom w:val="nil"/>
            </w:tcBorders>
          </w:tcPr>
          <w:p>
            <w:pPr>
              <w:pStyle w:val="TableParagraph"/>
              <w:spacing w:line="246" w:lineRule="exact"/>
              <w:ind w:left="57"/>
              <w:rPr>
                <w:sz w:val="24"/>
              </w:rPr>
            </w:pPr>
            <w:r>
              <w:rPr>
                <w:sz w:val="24"/>
              </w:rPr>
              <w:t>Educación Especial:</w:t>
            </w:r>
          </w:p>
        </w:tc>
      </w:tr>
      <w:tr>
        <w:trPr>
          <w:trHeight w:val="265" w:hRule="atLeast"/>
        </w:trPr>
        <w:tc>
          <w:tcPr>
            <w:tcW w:w="2518" w:type="dxa"/>
            <w:tcBorders>
              <w:top w:val="nil"/>
              <w:bottom w:val="nil"/>
            </w:tcBorders>
          </w:tcPr>
          <w:p>
            <w:pPr>
              <w:pStyle w:val="TableParagraph"/>
              <w:spacing w:line="246" w:lineRule="exact"/>
              <w:ind w:left="58"/>
              <w:rPr>
                <w:sz w:val="24"/>
              </w:rPr>
            </w:pPr>
            <w:r>
              <w:rPr>
                <w:sz w:val="24"/>
              </w:rPr>
              <w:t>(ELA, por sus siglas</w:t>
            </w:r>
          </w:p>
        </w:tc>
        <w:tc>
          <w:tcPr>
            <w:tcW w:w="2518" w:type="dxa"/>
            <w:tcBorders>
              <w:top w:val="nil"/>
              <w:bottom w:val="nil"/>
            </w:tcBorders>
          </w:tcPr>
          <w:p>
            <w:pPr>
              <w:pStyle w:val="TableParagraph"/>
              <w:spacing w:line="246" w:lineRule="exact"/>
              <w:ind w:left="58"/>
              <w:rPr>
                <w:sz w:val="24"/>
              </w:rPr>
            </w:pPr>
            <w:r>
              <w:rPr>
                <w:sz w:val="24"/>
              </w:rPr>
              <w:t>datos no informados</w:t>
            </w:r>
          </w:p>
        </w:tc>
        <w:tc>
          <w:tcPr>
            <w:tcW w:w="2519" w:type="dxa"/>
            <w:vMerge/>
            <w:tcBorders>
              <w:top w:val="nil"/>
            </w:tcBorders>
          </w:tcPr>
          <w:p>
            <w:pPr>
              <w:rPr>
                <w:sz w:val="2"/>
                <w:szCs w:val="2"/>
              </w:rPr>
            </w:pPr>
          </w:p>
        </w:tc>
        <w:tc>
          <w:tcPr>
            <w:tcW w:w="2518" w:type="dxa"/>
            <w:vMerge/>
            <w:tcBorders>
              <w:top w:val="nil"/>
            </w:tcBorders>
          </w:tcPr>
          <w:p>
            <w:pPr>
              <w:rPr>
                <w:sz w:val="2"/>
                <w:szCs w:val="2"/>
              </w:rPr>
            </w:pPr>
          </w:p>
        </w:tc>
        <w:tc>
          <w:tcPr>
            <w:tcW w:w="2518" w:type="dxa"/>
            <w:vMerge/>
            <w:tcBorders>
              <w:top w:val="nil"/>
            </w:tcBorders>
          </w:tcPr>
          <w:p>
            <w:pPr>
              <w:rPr>
                <w:sz w:val="2"/>
                <w:szCs w:val="2"/>
              </w:rPr>
            </w:pPr>
          </w:p>
        </w:tc>
        <w:tc>
          <w:tcPr>
            <w:tcW w:w="2519" w:type="dxa"/>
            <w:tcBorders>
              <w:top w:val="nil"/>
              <w:bottom w:val="nil"/>
            </w:tcBorders>
          </w:tcPr>
          <w:p>
            <w:pPr>
              <w:pStyle w:val="TableParagraph"/>
              <w:spacing w:line="246" w:lineRule="exact"/>
              <w:ind w:left="57"/>
              <w:rPr>
                <w:sz w:val="24"/>
              </w:rPr>
            </w:pPr>
            <w:r>
              <w:rPr>
                <w:sz w:val="24"/>
              </w:rPr>
              <w:t>datos no informados</w:t>
            </w:r>
          </w:p>
        </w:tc>
      </w:tr>
      <w:tr>
        <w:trPr>
          <w:trHeight w:val="601" w:hRule="atLeast"/>
        </w:trPr>
        <w:tc>
          <w:tcPr>
            <w:tcW w:w="2518" w:type="dxa"/>
            <w:tcBorders>
              <w:top w:val="nil"/>
            </w:tcBorders>
          </w:tcPr>
          <w:p>
            <w:pPr>
              <w:pStyle w:val="TableParagraph"/>
              <w:spacing w:line="263" w:lineRule="exact"/>
              <w:ind w:left="58"/>
              <w:rPr>
                <w:sz w:val="24"/>
              </w:rPr>
            </w:pPr>
            <w:r>
              <w:rPr>
                <w:sz w:val="24"/>
              </w:rPr>
              <w:t>en inglés)</w:t>
            </w:r>
          </w:p>
        </w:tc>
        <w:tc>
          <w:tcPr>
            <w:tcW w:w="2518" w:type="dxa"/>
            <w:tcBorders>
              <w:top w:val="nil"/>
            </w:tcBorders>
          </w:tcPr>
          <w:p>
            <w:pPr>
              <w:pStyle w:val="TableParagraph"/>
              <w:rPr>
                <w:rFonts w:ascii="Times New Roman"/>
                <w:sz w:val="22"/>
              </w:rPr>
            </w:pPr>
          </w:p>
        </w:tc>
        <w:tc>
          <w:tcPr>
            <w:tcW w:w="2519" w:type="dxa"/>
            <w:vMerge/>
            <w:tcBorders>
              <w:top w:val="nil"/>
            </w:tcBorders>
          </w:tcPr>
          <w:p>
            <w:pPr>
              <w:rPr>
                <w:sz w:val="2"/>
                <w:szCs w:val="2"/>
              </w:rPr>
            </w:pPr>
          </w:p>
        </w:tc>
        <w:tc>
          <w:tcPr>
            <w:tcW w:w="2518" w:type="dxa"/>
            <w:vMerge/>
            <w:tcBorders>
              <w:top w:val="nil"/>
            </w:tcBorders>
          </w:tcPr>
          <w:p>
            <w:pPr>
              <w:rPr>
                <w:sz w:val="2"/>
                <w:szCs w:val="2"/>
              </w:rPr>
            </w:pPr>
          </w:p>
        </w:tc>
        <w:tc>
          <w:tcPr>
            <w:tcW w:w="2518" w:type="dxa"/>
            <w:vMerge/>
            <w:tcBorders>
              <w:top w:val="nil"/>
            </w:tcBorders>
          </w:tcPr>
          <w:p>
            <w:pPr>
              <w:rPr>
                <w:sz w:val="2"/>
                <w:szCs w:val="2"/>
              </w:rPr>
            </w:pPr>
          </w:p>
        </w:tc>
        <w:tc>
          <w:tcPr>
            <w:tcW w:w="2519" w:type="dxa"/>
            <w:tcBorders>
              <w:top w:val="nil"/>
            </w:tcBorders>
          </w:tcPr>
          <w:p>
            <w:pPr>
              <w:pStyle w:val="TableParagraph"/>
              <w:rPr>
                <w:rFonts w:ascii="Times New Roman"/>
                <w:sz w:val="22"/>
              </w:rPr>
            </w:pPr>
          </w:p>
        </w:tc>
      </w:tr>
      <w:tr>
        <w:trPr>
          <w:trHeight w:val="332" w:hRule="atLeast"/>
        </w:trPr>
        <w:tc>
          <w:tcPr>
            <w:tcW w:w="2518" w:type="dxa"/>
            <w:tcBorders>
              <w:bottom w:val="nil"/>
            </w:tcBorders>
          </w:tcPr>
          <w:p>
            <w:pPr>
              <w:pStyle w:val="TableParagraph"/>
              <w:spacing w:line="259" w:lineRule="exact" w:before="54"/>
              <w:ind w:left="58"/>
              <w:rPr>
                <w:sz w:val="24"/>
              </w:rPr>
            </w:pPr>
            <w:r>
              <w:rPr>
                <w:sz w:val="24"/>
              </w:rPr>
              <w:t>Prioridad 4a de la</w:t>
            </w:r>
          </w:p>
        </w:tc>
        <w:tc>
          <w:tcPr>
            <w:tcW w:w="2518" w:type="dxa"/>
            <w:tcBorders>
              <w:bottom w:val="nil"/>
            </w:tcBorders>
          </w:tcPr>
          <w:p>
            <w:pPr>
              <w:pStyle w:val="TableParagraph"/>
              <w:spacing w:line="259" w:lineRule="exact" w:before="54"/>
              <w:ind w:left="58"/>
              <w:rPr>
                <w:sz w:val="24"/>
              </w:rPr>
            </w:pPr>
            <w:r>
              <w:rPr>
                <w:sz w:val="24"/>
              </w:rPr>
              <w:t>Interfaz de otoño de</w:t>
            </w:r>
          </w:p>
        </w:tc>
        <w:tc>
          <w:tcPr>
            <w:tcW w:w="2519" w:type="dxa"/>
            <w:vMerge w:val="restart"/>
          </w:tcPr>
          <w:p>
            <w:pPr>
              <w:pStyle w:val="TableParagraph"/>
              <w:rPr>
                <w:rFonts w:ascii="Times New Roman"/>
                <w:sz w:val="22"/>
              </w:rPr>
            </w:pPr>
          </w:p>
        </w:tc>
        <w:tc>
          <w:tcPr>
            <w:tcW w:w="2518" w:type="dxa"/>
            <w:vMerge w:val="restart"/>
          </w:tcPr>
          <w:p>
            <w:pPr>
              <w:pStyle w:val="TableParagraph"/>
              <w:rPr>
                <w:rFonts w:ascii="Times New Roman"/>
                <w:sz w:val="22"/>
              </w:rPr>
            </w:pPr>
          </w:p>
        </w:tc>
        <w:tc>
          <w:tcPr>
            <w:tcW w:w="2518" w:type="dxa"/>
            <w:vMerge w:val="restart"/>
          </w:tcPr>
          <w:p>
            <w:pPr>
              <w:pStyle w:val="TableParagraph"/>
              <w:rPr>
                <w:rFonts w:ascii="Times New Roman"/>
                <w:sz w:val="22"/>
              </w:rPr>
            </w:pPr>
          </w:p>
        </w:tc>
        <w:tc>
          <w:tcPr>
            <w:tcW w:w="2519" w:type="dxa"/>
            <w:tcBorders>
              <w:bottom w:val="nil"/>
            </w:tcBorders>
          </w:tcPr>
          <w:p>
            <w:pPr>
              <w:pStyle w:val="TableParagraph"/>
              <w:spacing w:line="259" w:lineRule="exact" w:before="54"/>
              <w:ind w:left="57"/>
              <w:rPr>
                <w:sz w:val="24"/>
              </w:rPr>
            </w:pPr>
            <w:r>
              <w:rPr>
                <w:sz w:val="24"/>
              </w:rPr>
              <w:t>Interfaz de otoño de</w:t>
            </w:r>
          </w:p>
        </w:tc>
      </w:tr>
      <w:tr>
        <w:trPr>
          <w:trHeight w:val="265" w:hRule="atLeast"/>
        </w:trPr>
        <w:tc>
          <w:tcPr>
            <w:tcW w:w="2518" w:type="dxa"/>
            <w:tcBorders>
              <w:top w:val="nil"/>
              <w:bottom w:val="nil"/>
            </w:tcBorders>
          </w:tcPr>
          <w:p>
            <w:pPr>
              <w:pStyle w:val="TableParagraph"/>
              <w:spacing w:line="246" w:lineRule="exact"/>
              <w:ind w:left="58"/>
              <w:rPr>
                <w:sz w:val="24"/>
              </w:rPr>
            </w:pPr>
            <w:r>
              <w:rPr>
                <w:sz w:val="24"/>
              </w:rPr>
              <w:t>Fórmula de</w:t>
            </w:r>
          </w:p>
        </w:tc>
        <w:tc>
          <w:tcPr>
            <w:tcW w:w="2518" w:type="dxa"/>
            <w:tcBorders>
              <w:top w:val="nil"/>
              <w:bottom w:val="nil"/>
            </w:tcBorders>
          </w:tcPr>
          <w:p>
            <w:pPr>
              <w:pStyle w:val="TableParagraph"/>
              <w:spacing w:line="246" w:lineRule="exact"/>
              <w:ind w:left="58"/>
              <w:rPr>
                <w:sz w:val="24"/>
              </w:rPr>
            </w:pPr>
            <w:r>
              <w:rPr>
                <w:sz w:val="24"/>
              </w:rPr>
              <w:t>2019</w:t>
            </w:r>
          </w:p>
        </w:tc>
        <w:tc>
          <w:tcPr>
            <w:tcW w:w="2519" w:type="dxa"/>
            <w:vMerge/>
            <w:tcBorders>
              <w:top w:val="nil"/>
            </w:tcBorders>
          </w:tcPr>
          <w:p>
            <w:pPr>
              <w:rPr>
                <w:sz w:val="2"/>
                <w:szCs w:val="2"/>
              </w:rPr>
            </w:pPr>
          </w:p>
        </w:tc>
        <w:tc>
          <w:tcPr>
            <w:tcW w:w="2518" w:type="dxa"/>
            <w:vMerge/>
            <w:tcBorders>
              <w:top w:val="nil"/>
            </w:tcBorders>
          </w:tcPr>
          <w:p>
            <w:pPr>
              <w:rPr>
                <w:sz w:val="2"/>
                <w:szCs w:val="2"/>
              </w:rPr>
            </w:pPr>
          </w:p>
        </w:tc>
        <w:tc>
          <w:tcPr>
            <w:tcW w:w="2518" w:type="dxa"/>
            <w:vMerge/>
            <w:tcBorders>
              <w:top w:val="nil"/>
            </w:tcBorders>
          </w:tcPr>
          <w:p>
            <w:pPr>
              <w:rPr>
                <w:sz w:val="2"/>
                <w:szCs w:val="2"/>
              </w:rPr>
            </w:pPr>
          </w:p>
        </w:tc>
        <w:tc>
          <w:tcPr>
            <w:tcW w:w="2519" w:type="dxa"/>
            <w:tcBorders>
              <w:top w:val="nil"/>
              <w:bottom w:val="nil"/>
            </w:tcBorders>
          </w:tcPr>
          <w:p>
            <w:pPr>
              <w:pStyle w:val="TableParagraph"/>
              <w:spacing w:line="246" w:lineRule="exact"/>
              <w:ind w:left="57"/>
              <w:rPr>
                <w:sz w:val="24"/>
              </w:rPr>
            </w:pPr>
            <w:r>
              <w:rPr>
                <w:sz w:val="24"/>
              </w:rPr>
              <w:t>2021</w:t>
            </w:r>
          </w:p>
        </w:tc>
      </w:tr>
      <w:tr>
        <w:trPr>
          <w:trHeight w:val="265" w:hRule="atLeast"/>
        </w:trPr>
        <w:tc>
          <w:tcPr>
            <w:tcW w:w="2518" w:type="dxa"/>
            <w:tcBorders>
              <w:top w:val="nil"/>
              <w:bottom w:val="nil"/>
            </w:tcBorders>
          </w:tcPr>
          <w:p>
            <w:pPr>
              <w:pStyle w:val="TableParagraph"/>
              <w:spacing w:line="246" w:lineRule="exact"/>
              <w:ind w:left="58"/>
              <w:rPr>
                <w:sz w:val="24"/>
              </w:rPr>
            </w:pPr>
            <w:r>
              <w:rPr>
                <w:sz w:val="24"/>
              </w:rPr>
              <w:t>Financiamiento y</w:t>
            </w:r>
          </w:p>
        </w:tc>
        <w:tc>
          <w:tcPr>
            <w:tcW w:w="2518" w:type="dxa"/>
            <w:tcBorders>
              <w:top w:val="nil"/>
              <w:bottom w:val="nil"/>
            </w:tcBorders>
          </w:tcPr>
          <w:p>
            <w:pPr>
              <w:pStyle w:val="TableParagraph"/>
              <w:spacing w:line="246" w:lineRule="exact"/>
              <w:ind w:left="58"/>
              <w:rPr>
                <w:sz w:val="24"/>
              </w:rPr>
            </w:pPr>
            <w:r>
              <w:rPr>
                <w:sz w:val="24"/>
              </w:rPr>
              <w:t>Todos los alumnos:</w:t>
            </w:r>
          </w:p>
        </w:tc>
        <w:tc>
          <w:tcPr>
            <w:tcW w:w="2519" w:type="dxa"/>
            <w:vMerge/>
            <w:tcBorders>
              <w:top w:val="nil"/>
            </w:tcBorders>
          </w:tcPr>
          <w:p>
            <w:pPr>
              <w:rPr>
                <w:sz w:val="2"/>
                <w:szCs w:val="2"/>
              </w:rPr>
            </w:pPr>
          </w:p>
        </w:tc>
        <w:tc>
          <w:tcPr>
            <w:tcW w:w="2518" w:type="dxa"/>
            <w:vMerge/>
            <w:tcBorders>
              <w:top w:val="nil"/>
            </w:tcBorders>
          </w:tcPr>
          <w:p>
            <w:pPr>
              <w:rPr>
                <w:sz w:val="2"/>
                <w:szCs w:val="2"/>
              </w:rPr>
            </w:pPr>
          </w:p>
        </w:tc>
        <w:tc>
          <w:tcPr>
            <w:tcW w:w="2518" w:type="dxa"/>
            <w:vMerge/>
            <w:tcBorders>
              <w:top w:val="nil"/>
            </w:tcBorders>
          </w:tcPr>
          <w:p>
            <w:pPr>
              <w:rPr>
                <w:sz w:val="2"/>
                <w:szCs w:val="2"/>
              </w:rPr>
            </w:pPr>
          </w:p>
        </w:tc>
        <w:tc>
          <w:tcPr>
            <w:tcW w:w="2519" w:type="dxa"/>
            <w:tcBorders>
              <w:top w:val="nil"/>
              <w:bottom w:val="nil"/>
            </w:tcBorders>
          </w:tcPr>
          <w:p>
            <w:pPr>
              <w:pStyle w:val="TableParagraph"/>
              <w:spacing w:line="246" w:lineRule="exact"/>
              <w:ind w:left="57"/>
              <w:rPr>
                <w:sz w:val="24"/>
              </w:rPr>
            </w:pPr>
            <w:r>
              <w:rPr>
                <w:sz w:val="24"/>
              </w:rPr>
              <w:t>Todos los alumnos:</w:t>
            </w:r>
          </w:p>
        </w:tc>
      </w:tr>
      <w:tr>
        <w:trPr>
          <w:trHeight w:val="265" w:hRule="atLeast"/>
        </w:trPr>
        <w:tc>
          <w:tcPr>
            <w:tcW w:w="2518" w:type="dxa"/>
            <w:tcBorders>
              <w:top w:val="nil"/>
              <w:bottom w:val="nil"/>
            </w:tcBorders>
          </w:tcPr>
          <w:p>
            <w:pPr>
              <w:pStyle w:val="TableParagraph"/>
              <w:spacing w:line="246" w:lineRule="exact"/>
              <w:ind w:left="58"/>
              <w:rPr>
                <w:sz w:val="24"/>
              </w:rPr>
            </w:pPr>
            <w:r>
              <w:rPr>
                <w:sz w:val="24"/>
              </w:rPr>
              <w:t>Control Local (LCFF,</w:t>
            </w:r>
          </w:p>
        </w:tc>
        <w:tc>
          <w:tcPr>
            <w:tcW w:w="2518" w:type="dxa"/>
            <w:tcBorders>
              <w:top w:val="nil"/>
              <w:bottom w:val="nil"/>
            </w:tcBorders>
          </w:tcPr>
          <w:p>
            <w:pPr>
              <w:pStyle w:val="TableParagraph"/>
              <w:spacing w:line="246" w:lineRule="exact"/>
              <w:ind w:left="58"/>
              <w:rPr>
                <w:sz w:val="24"/>
              </w:rPr>
            </w:pPr>
            <w:r>
              <w:rPr>
                <w:sz w:val="24"/>
              </w:rPr>
              <w:t>4.2 puntos por encima</w:t>
            </w:r>
          </w:p>
        </w:tc>
        <w:tc>
          <w:tcPr>
            <w:tcW w:w="2519" w:type="dxa"/>
            <w:vMerge/>
            <w:tcBorders>
              <w:top w:val="nil"/>
            </w:tcBorders>
          </w:tcPr>
          <w:p>
            <w:pPr>
              <w:rPr>
                <w:sz w:val="2"/>
                <w:szCs w:val="2"/>
              </w:rPr>
            </w:pPr>
          </w:p>
        </w:tc>
        <w:tc>
          <w:tcPr>
            <w:tcW w:w="2518" w:type="dxa"/>
            <w:vMerge/>
            <w:tcBorders>
              <w:top w:val="nil"/>
            </w:tcBorders>
          </w:tcPr>
          <w:p>
            <w:pPr>
              <w:rPr>
                <w:sz w:val="2"/>
                <w:szCs w:val="2"/>
              </w:rPr>
            </w:pPr>
          </w:p>
        </w:tc>
        <w:tc>
          <w:tcPr>
            <w:tcW w:w="2518" w:type="dxa"/>
            <w:vMerge/>
            <w:tcBorders>
              <w:top w:val="nil"/>
            </w:tcBorders>
          </w:tcPr>
          <w:p>
            <w:pPr>
              <w:rPr>
                <w:sz w:val="2"/>
                <w:szCs w:val="2"/>
              </w:rPr>
            </w:pPr>
          </w:p>
        </w:tc>
        <w:tc>
          <w:tcPr>
            <w:tcW w:w="2519" w:type="dxa"/>
            <w:tcBorders>
              <w:top w:val="nil"/>
              <w:bottom w:val="nil"/>
            </w:tcBorders>
          </w:tcPr>
          <w:p>
            <w:pPr>
              <w:pStyle w:val="TableParagraph"/>
              <w:spacing w:line="246" w:lineRule="exact"/>
              <w:ind w:left="57"/>
              <w:rPr>
                <w:sz w:val="24"/>
              </w:rPr>
            </w:pPr>
            <w:r>
              <w:rPr>
                <w:sz w:val="24"/>
              </w:rPr>
              <w:t>4.2 puntos por encima</w:t>
            </w:r>
          </w:p>
        </w:tc>
      </w:tr>
      <w:tr>
        <w:trPr>
          <w:trHeight w:val="265" w:hRule="atLeast"/>
        </w:trPr>
        <w:tc>
          <w:tcPr>
            <w:tcW w:w="2518" w:type="dxa"/>
            <w:tcBorders>
              <w:top w:val="nil"/>
              <w:bottom w:val="nil"/>
            </w:tcBorders>
          </w:tcPr>
          <w:p>
            <w:pPr>
              <w:pStyle w:val="TableParagraph"/>
              <w:spacing w:line="246" w:lineRule="exact"/>
              <w:ind w:left="58"/>
              <w:rPr>
                <w:sz w:val="24"/>
              </w:rPr>
            </w:pPr>
            <w:r>
              <w:rPr>
                <w:sz w:val="24"/>
              </w:rPr>
              <w:t>por sus siglas en</w:t>
            </w:r>
          </w:p>
        </w:tc>
        <w:tc>
          <w:tcPr>
            <w:tcW w:w="2518" w:type="dxa"/>
            <w:tcBorders>
              <w:top w:val="nil"/>
              <w:bottom w:val="nil"/>
            </w:tcBorders>
          </w:tcPr>
          <w:p>
            <w:pPr>
              <w:pStyle w:val="TableParagraph"/>
              <w:spacing w:line="246" w:lineRule="exact"/>
              <w:ind w:left="58"/>
              <w:rPr>
                <w:sz w:val="24"/>
              </w:rPr>
            </w:pPr>
            <w:r>
              <w:rPr>
                <w:sz w:val="24"/>
              </w:rPr>
              <w:t>de la norma</w:t>
            </w:r>
          </w:p>
        </w:tc>
        <w:tc>
          <w:tcPr>
            <w:tcW w:w="2519" w:type="dxa"/>
            <w:vMerge/>
            <w:tcBorders>
              <w:top w:val="nil"/>
            </w:tcBorders>
          </w:tcPr>
          <w:p>
            <w:pPr>
              <w:rPr>
                <w:sz w:val="2"/>
                <w:szCs w:val="2"/>
              </w:rPr>
            </w:pPr>
          </w:p>
        </w:tc>
        <w:tc>
          <w:tcPr>
            <w:tcW w:w="2518" w:type="dxa"/>
            <w:vMerge/>
            <w:tcBorders>
              <w:top w:val="nil"/>
            </w:tcBorders>
          </w:tcPr>
          <w:p>
            <w:pPr>
              <w:rPr>
                <w:sz w:val="2"/>
                <w:szCs w:val="2"/>
              </w:rPr>
            </w:pPr>
          </w:p>
        </w:tc>
        <w:tc>
          <w:tcPr>
            <w:tcW w:w="2518" w:type="dxa"/>
            <w:vMerge/>
            <w:tcBorders>
              <w:top w:val="nil"/>
            </w:tcBorders>
          </w:tcPr>
          <w:p>
            <w:pPr>
              <w:rPr>
                <w:sz w:val="2"/>
                <w:szCs w:val="2"/>
              </w:rPr>
            </w:pPr>
          </w:p>
        </w:tc>
        <w:tc>
          <w:tcPr>
            <w:tcW w:w="2519" w:type="dxa"/>
            <w:tcBorders>
              <w:top w:val="nil"/>
              <w:bottom w:val="nil"/>
            </w:tcBorders>
          </w:tcPr>
          <w:p>
            <w:pPr>
              <w:pStyle w:val="TableParagraph"/>
              <w:spacing w:line="246" w:lineRule="exact"/>
              <w:ind w:left="57"/>
              <w:rPr>
                <w:sz w:val="24"/>
              </w:rPr>
            </w:pPr>
            <w:r>
              <w:rPr>
                <w:sz w:val="24"/>
              </w:rPr>
              <w:t>de la norma</w:t>
            </w:r>
          </w:p>
        </w:tc>
      </w:tr>
      <w:tr>
        <w:trPr>
          <w:trHeight w:val="265" w:hRule="atLeast"/>
        </w:trPr>
        <w:tc>
          <w:tcPr>
            <w:tcW w:w="2518" w:type="dxa"/>
            <w:tcBorders>
              <w:top w:val="nil"/>
              <w:bottom w:val="nil"/>
            </w:tcBorders>
          </w:tcPr>
          <w:p>
            <w:pPr>
              <w:pStyle w:val="TableParagraph"/>
              <w:spacing w:line="246" w:lineRule="exact"/>
              <w:ind w:left="58"/>
              <w:rPr>
                <w:sz w:val="24"/>
              </w:rPr>
            </w:pPr>
            <w:r>
              <w:rPr>
                <w:sz w:val="24"/>
              </w:rPr>
              <w:t>inglés): Evaluaciones</w:t>
            </w:r>
          </w:p>
        </w:tc>
        <w:tc>
          <w:tcPr>
            <w:tcW w:w="2518" w:type="dxa"/>
            <w:tcBorders>
              <w:top w:val="nil"/>
              <w:bottom w:val="nil"/>
            </w:tcBorders>
          </w:tcPr>
          <w:p>
            <w:pPr>
              <w:pStyle w:val="TableParagraph"/>
              <w:spacing w:line="246" w:lineRule="exact"/>
              <w:ind w:left="58"/>
              <w:rPr>
                <w:sz w:val="24"/>
              </w:rPr>
            </w:pPr>
            <w:r>
              <w:rPr>
                <w:sz w:val="24"/>
              </w:rPr>
              <w:t>Aumentó 16.2 puntos</w:t>
            </w:r>
          </w:p>
        </w:tc>
        <w:tc>
          <w:tcPr>
            <w:tcW w:w="2519" w:type="dxa"/>
            <w:vMerge/>
            <w:tcBorders>
              <w:top w:val="nil"/>
            </w:tcBorders>
          </w:tcPr>
          <w:p>
            <w:pPr>
              <w:rPr>
                <w:sz w:val="2"/>
                <w:szCs w:val="2"/>
              </w:rPr>
            </w:pPr>
          </w:p>
        </w:tc>
        <w:tc>
          <w:tcPr>
            <w:tcW w:w="2518" w:type="dxa"/>
            <w:vMerge/>
            <w:tcBorders>
              <w:top w:val="nil"/>
            </w:tcBorders>
          </w:tcPr>
          <w:p>
            <w:pPr>
              <w:rPr>
                <w:sz w:val="2"/>
                <w:szCs w:val="2"/>
              </w:rPr>
            </w:pPr>
          </w:p>
        </w:tc>
        <w:tc>
          <w:tcPr>
            <w:tcW w:w="2518" w:type="dxa"/>
            <w:vMerge/>
            <w:tcBorders>
              <w:top w:val="nil"/>
            </w:tcBorders>
          </w:tcPr>
          <w:p>
            <w:pPr>
              <w:rPr>
                <w:sz w:val="2"/>
                <w:szCs w:val="2"/>
              </w:rPr>
            </w:pPr>
          </w:p>
        </w:tc>
        <w:tc>
          <w:tcPr>
            <w:tcW w:w="2519" w:type="dxa"/>
            <w:tcBorders>
              <w:top w:val="nil"/>
              <w:bottom w:val="nil"/>
            </w:tcBorders>
          </w:tcPr>
          <w:p>
            <w:pPr>
              <w:pStyle w:val="TableParagraph"/>
              <w:spacing w:line="246" w:lineRule="exact"/>
              <w:ind w:left="57"/>
              <w:rPr>
                <w:sz w:val="24"/>
              </w:rPr>
            </w:pPr>
            <w:r>
              <w:rPr>
                <w:sz w:val="24"/>
              </w:rPr>
              <w:t>Se mantuvo</w:t>
            </w:r>
          </w:p>
        </w:tc>
      </w:tr>
      <w:tr>
        <w:trPr>
          <w:trHeight w:val="265" w:hRule="atLeast"/>
        </w:trPr>
        <w:tc>
          <w:tcPr>
            <w:tcW w:w="2518" w:type="dxa"/>
            <w:tcBorders>
              <w:top w:val="nil"/>
              <w:bottom w:val="nil"/>
            </w:tcBorders>
          </w:tcPr>
          <w:p>
            <w:pPr>
              <w:pStyle w:val="TableParagraph"/>
              <w:spacing w:line="246" w:lineRule="exact"/>
              <w:ind w:left="58"/>
              <w:rPr>
                <w:sz w:val="24"/>
              </w:rPr>
            </w:pPr>
            <w:r>
              <w:rPr>
                <w:sz w:val="24"/>
              </w:rPr>
              <w:t>estatales</w:t>
            </w:r>
          </w:p>
        </w:tc>
        <w:tc>
          <w:tcPr>
            <w:tcW w:w="2518" w:type="dxa"/>
            <w:tcBorders>
              <w:top w:val="nil"/>
              <w:bottom w:val="nil"/>
            </w:tcBorders>
          </w:tcPr>
          <w:p>
            <w:pPr>
              <w:pStyle w:val="TableParagraph"/>
              <w:spacing w:line="246" w:lineRule="exact"/>
              <w:ind w:left="58"/>
              <w:rPr>
                <w:sz w:val="24"/>
              </w:rPr>
            </w:pPr>
            <w:r>
              <w:rPr>
                <w:sz w:val="24"/>
              </w:rPr>
              <w:t>Alumnos en</w:t>
            </w:r>
          </w:p>
        </w:tc>
        <w:tc>
          <w:tcPr>
            <w:tcW w:w="2519" w:type="dxa"/>
            <w:vMerge/>
            <w:tcBorders>
              <w:top w:val="nil"/>
            </w:tcBorders>
          </w:tcPr>
          <w:p>
            <w:pPr>
              <w:rPr>
                <w:sz w:val="2"/>
                <w:szCs w:val="2"/>
              </w:rPr>
            </w:pPr>
          </w:p>
        </w:tc>
        <w:tc>
          <w:tcPr>
            <w:tcW w:w="2518" w:type="dxa"/>
            <w:vMerge/>
            <w:tcBorders>
              <w:top w:val="nil"/>
            </w:tcBorders>
          </w:tcPr>
          <w:p>
            <w:pPr>
              <w:rPr>
                <w:sz w:val="2"/>
                <w:szCs w:val="2"/>
              </w:rPr>
            </w:pPr>
          </w:p>
        </w:tc>
        <w:tc>
          <w:tcPr>
            <w:tcW w:w="2518" w:type="dxa"/>
            <w:vMerge/>
            <w:tcBorders>
              <w:top w:val="nil"/>
            </w:tcBorders>
          </w:tcPr>
          <w:p>
            <w:pPr>
              <w:rPr>
                <w:sz w:val="2"/>
                <w:szCs w:val="2"/>
              </w:rPr>
            </w:pPr>
          </w:p>
        </w:tc>
        <w:tc>
          <w:tcPr>
            <w:tcW w:w="2519" w:type="dxa"/>
            <w:tcBorders>
              <w:top w:val="nil"/>
              <w:bottom w:val="nil"/>
            </w:tcBorders>
          </w:tcPr>
          <w:p>
            <w:pPr>
              <w:pStyle w:val="TableParagraph"/>
              <w:spacing w:line="246" w:lineRule="exact"/>
              <w:ind w:left="57"/>
              <w:rPr>
                <w:sz w:val="24"/>
              </w:rPr>
            </w:pPr>
            <w:r>
              <w:rPr>
                <w:sz w:val="24"/>
              </w:rPr>
              <w:t>Alumnos en</w:t>
            </w:r>
          </w:p>
        </w:tc>
      </w:tr>
      <w:tr>
        <w:trPr>
          <w:trHeight w:val="265" w:hRule="atLeast"/>
        </w:trPr>
        <w:tc>
          <w:tcPr>
            <w:tcW w:w="2518" w:type="dxa"/>
            <w:tcBorders>
              <w:top w:val="nil"/>
              <w:bottom w:val="nil"/>
            </w:tcBorders>
          </w:tcPr>
          <w:p>
            <w:pPr>
              <w:pStyle w:val="TableParagraph"/>
              <w:spacing w:line="246" w:lineRule="exact"/>
              <w:ind w:left="58"/>
              <w:rPr>
                <w:sz w:val="24"/>
              </w:rPr>
            </w:pPr>
            <w:r>
              <w:rPr>
                <w:sz w:val="24"/>
              </w:rPr>
              <w:t>Fuente: Indicador</w:t>
            </w:r>
          </w:p>
        </w:tc>
        <w:tc>
          <w:tcPr>
            <w:tcW w:w="2518" w:type="dxa"/>
            <w:tcBorders>
              <w:top w:val="nil"/>
              <w:bottom w:val="nil"/>
            </w:tcBorders>
          </w:tcPr>
          <w:p>
            <w:pPr>
              <w:pStyle w:val="TableParagraph"/>
              <w:spacing w:line="246" w:lineRule="exact"/>
              <w:ind w:left="58"/>
              <w:rPr>
                <w:sz w:val="24"/>
              </w:rPr>
            </w:pPr>
            <w:r>
              <w:rPr>
                <w:sz w:val="24"/>
              </w:rPr>
              <w:t>desventaja</w:t>
            </w:r>
          </w:p>
        </w:tc>
        <w:tc>
          <w:tcPr>
            <w:tcW w:w="2519" w:type="dxa"/>
            <w:vMerge/>
            <w:tcBorders>
              <w:top w:val="nil"/>
            </w:tcBorders>
          </w:tcPr>
          <w:p>
            <w:pPr>
              <w:rPr>
                <w:sz w:val="2"/>
                <w:szCs w:val="2"/>
              </w:rPr>
            </w:pPr>
          </w:p>
        </w:tc>
        <w:tc>
          <w:tcPr>
            <w:tcW w:w="2518" w:type="dxa"/>
            <w:vMerge/>
            <w:tcBorders>
              <w:top w:val="nil"/>
            </w:tcBorders>
          </w:tcPr>
          <w:p>
            <w:pPr>
              <w:rPr>
                <w:sz w:val="2"/>
                <w:szCs w:val="2"/>
              </w:rPr>
            </w:pPr>
          </w:p>
        </w:tc>
        <w:tc>
          <w:tcPr>
            <w:tcW w:w="2518" w:type="dxa"/>
            <w:vMerge/>
            <w:tcBorders>
              <w:top w:val="nil"/>
            </w:tcBorders>
          </w:tcPr>
          <w:p>
            <w:pPr>
              <w:rPr>
                <w:sz w:val="2"/>
                <w:szCs w:val="2"/>
              </w:rPr>
            </w:pPr>
          </w:p>
        </w:tc>
        <w:tc>
          <w:tcPr>
            <w:tcW w:w="2519" w:type="dxa"/>
            <w:tcBorders>
              <w:top w:val="nil"/>
              <w:bottom w:val="nil"/>
            </w:tcBorders>
          </w:tcPr>
          <w:p>
            <w:pPr>
              <w:pStyle w:val="TableParagraph"/>
              <w:spacing w:line="246" w:lineRule="exact"/>
              <w:ind w:left="57"/>
              <w:rPr>
                <w:sz w:val="24"/>
              </w:rPr>
            </w:pPr>
            <w:r>
              <w:rPr>
                <w:sz w:val="24"/>
              </w:rPr>
              <w:t>desventaja</w:t>
            </w:r>
          </w:p>
        </w:tc>
      </w:tr>
      <w:tr>
        <w:trPr>
          <w:trHeight w:val="265" w:hRule="atLeast"/>
        </w:trPr>
        <w:tc>
          <w:tcPr>
            <w:tcW w:w="2518" w:type="dxa"/>
            <w:tcBorders>
              <w:top w:val="nil"/>
              <w:bottom w:val="nil"/>
            </w:tcBorders>
          </w:tcPr>
          <w:p>
            <w:pPr>
              <w:pStyle w:val="TableParagraph"/>
              <w:spacing w:line="246" w:lineRule="exact"/>
              <w:ind w:left="58"/>
              <w:rPr>
                <w:sz w:val="24"/>
              </w:rPr>
            </w:pPr>
            <w:r>
              <w:rPr>
                <w:sz w:val="24"/>
              </w:rPr>
              <w:t>Académico de la</w:t>
            </w:r>
          </w:p>
        </w:tc>
        <w:tc>
          <w:tcPr>
            <w:tcW w:w="2518" w:type="dxa"/>
            <w:tcBorders>
              <w:top w:val="nil"/>
              <w:bottom w:val="nil"/>
            </w:tcBorders>
          </w:tcPr>
          <w:p>
            <w:pPr>
              <w:pStyle w:val="TableParagraph"/>
              <w:spacing w:line="246" w:lineRule="exact"/>
              <w:ind w:left="58"/>
              <w:rPr>
                <w:sz w:val="24"/>
              </w:rPr>
            </w:pPr>
            <w:r>
              <w:rPr>
                <w:sz w:val="24"/>
              </w:rPr>
              <w:t>socioeconómica: 4.2</w:t>
            </w:r>
          </w:p>
        </w:tc>
        <w:tc>
          <w:tcPr>
            <w:tcW w:w="2519" w:type="dxa"/>
            <w:vMerge/>
            <w:tcBorders>
              <w:top w:val="nil"/>
            </w:tcBorders>
          </w:tcPr>
          <w:p>
            <w:pPr>
              <w:rPr>
                <w:sz w:val="2"/>
                <w:szCs w:val="2"/>
              </w:rPr>
            </w:pPr>
          </w:p>
        </w:tc>
        <w:tc>
          <w:tcPr>
            <w:tcW w:w="2518" w:type="dxa"/>
            <w:vMerge/>
            <w:tcBorders>
              <w:top w:val="nil"/>
            </w:tcBorders>
          </w:tcPr>
          <w:p>
            <w:pPr>
              <w:rPr>
                <w:sz w:val="2"/>
                <w:szCs w:val="2"/>
              </w:rPr>
            </w:pPr>
          </w:p>
        </w:tc>
        <w:tc>
          <w:tcPr>
            <w:tcW w:w="2518" w:type="dxa"/>
            <w:vMerge/>
            <w:tcBorders>
              <w:top w:val="nil"/>
            </w:tcBorders>
          </w:tcPr>
          <w:p>
            <w:pPr>
              <w:rPr>
                <w:sz w:val="2"/>
                <w:szCs w:val="2"/>
              </w:rPr>
            </w:pPr>
          </w:p>
        </w:tc>
        <w:tc>
          <w:tcPr>
            <w:tcW w:w="2519" w:type="dxa"/>
            <w:tcBorders>
              <w:top w:val="nil"/>
              <w:bottom w:val="nil"/>
            </w:tcBorders>
          </w:tcPr>
          <w:p>
            <w:pPr>
              <w:pStyle w:val="TableParagraph"/>
              <w:spacing w:line="246" w:lineRule="exact"/>
              <w:ind w:left="57"/>
              <w:rPr>
                <w:sz w:val="24"/>
              </w:rPr>
            </w:pPr>
            <w:r>
              <w:rPr>
                <w:sz w:val="24"/>
              </w:rPr>
              <w:t>socioeconómica: 4.2</w:t>
            </w:r>
          </w:p>
        </w:tc>
      </w:tr>
      <w:tr>
        <w:trPr>
          <w:trHeight w:val="265" w:hRule="atLeast"/>
        </w:trPr>
        <w:tc>
          <w:tcPr>
            <w:tcW w:w="2518" w:type="dxa"/>
            <w:tcBorders>
              <w:top w:val="nil"/>
              <w:bottom w:val="nil"/>
            </w:tcBorders>
          </w:tcPr>
          <w:p>
            <w:pPr>
              <w:pStyle w:val="TableParagraph"/>
              <w:spacing w:line="246" w:lineRule="exact"/>
              <w:ind w:left="58"/>
              <w:rPr>
                <w:sz w:val="24"/>
              </w:rPr>
            </w:pPr>
            <w:r>
              <w:rPr>
                <w:sz w:val="24"/>
              </w:rPr>
              <w:t>Interfaz de datos</w:t>
            </w:r>
          </w:p>
        </w:tc>
        <w:tc>
          <w:tcPr>
            <w:tcW w:w="2518" w:type="dxa"/>
            <w:tcBorders>
              <w:top w:val="nil"/>
              <w:bottom w:val="nil"/>
            </w:tcBorders>
          </w:tcPr>
          <w:p>
            <w:pPr>
              <w:pStyle w:val="TableParagraph"/>
              <w:spacing w:line="246" w:lineRule="exact"/>
              <w:ind w:left="58"/>
              <w:rPr>
                <w:sz w:val="24"/>
              </w:rPr>
            </w:pPr>
            <w:r>
              <w:rPr>
                <w:sz w:val="24"/>
              </w:rPr>
              <w:t>puntos por debajo de</w:t>
            </w:r>
          </w:p>
        </w:tc>
        <w:tc>
          <w:tcPr>
            <w:tcW w:w="2519" w:type="dxa"/>
            <w:vMerge/>
            <w:tcBorders>
              <w:top w:val="nil"/>
            </w:tcBorders>
          </w:tcPr>
          <w:p>
            <w:pPr>
              <w:rPr>
                <w:sz w:val="2"/>
                <w:szCs w:val="2"/>
              </w:rPr>
            </w:pPr>
          </w:p>
        </w:tc>
        <w:tc>
          <w:tcPr>
            <w:tcW w:w="2518" w:type="dxa"/>
            <w:vMerge/>
            <w:tcBorders>
              <w:top w:val="nil"/>
            </w:tcBorders>
          </w:tcPr>
          <w:p>
            <w:pPr>
              <w:rPr>
                <w:sz w:val="2"/>
                <w:szCs w:val="2"/>
              </w:rPr>
            </w:pPr>
          </w:p>
        </w:tc>
        <w:tc>
          <w:tcPr>
            <w:tcW w:w="2518" w:type="dxa"/>
            <w:vMerge/>
            <w:tcBorders>
              <w:top w:val="nil"/>
            </w:tcBorders>
          </w:tcPr>
          <w:p>
            <w:pPr>
              <w:rPr>
                <w:sz w:val="2"/>
                <w:szCs w:val="2"/>
              </w:rPr>
            </w:pPr>
          </w:p>
        </w:tc>
        <w:tc>
          <w:tcPr>
            <w:tcW w:w="2519" w:type="dxa"/>
            <w:tcBorders>
              <w:top w:val="nil"/>
              <w:bottom w:val="nil"/>
            </w:tcBorders>
          </w:tcPr>
          <w:p>
            <w:pPr>
              <w:pStyle w:val="TableParagraph"/>
              <w:spacing w:line="246" w:lineRule="exact"/>
              <w:ind w:left="57"/>
              <w:rPr>
                <w:sz w:val="24"/>
              </w:rPr>
            </w:pPr>
            <w:r>
              <w:rPr>
                <w:sz w:val="24"/>
              </w:rPr>
              <w:t>puntos por debajo de</w:t>
            </w:r>
          </w:p>
        </w:tc>
      </w:tr>
      <w:tr>
        <w:trPr>
          <w:trHeight w:val="265" w:hRule="atLeast"/>
        </w:trPr>
        <w:tc>
          <w:tcPr>
            <w:tcW w:w="2518" w:type="dxa"/>
            <w:tcBorders>
              <w:top w:val="nil"/>
              <w:bottom w:val="nil"/>
            </w:tcBorders>
          </w:tcPr>
          <w:p>
            <w:pPr>
              <w:pStyle w:val="TableParagraph"/>
              <w:spacing w:line="246" w:lineRule="exact"/>
              <w:ind w:left="58"/>
              <w:rPr>
                <w:sz w:val="24"/>
              </w:rPr>
            </w:pPr>
            <w:r>
              <w:rPr>
                <w:sz w:val="24"/>
              </w:rPr>
              <w:t>escolares de</w:t>
            </w:r>
          </w:p>
        </w:tc>
        <w:tc>
          <w:tcPr>
            <w:tcW w:w="2518" w:type="dxa"/>
            <w:tcBorders>
              <w:top w:val="nil"/>
              <w:bottom w:val="nil"/>
            </w:tcBorders>
          </w:tcPr>
          <w:p>
            <w:pPr>
              <w:pStyle w:val="TableParagraph"/>
              <w:spacing w:line="246" w:lineRule="exact"/>
              <w:ind w:left="58"/>
              <w:rPr>
                <w:sz w:val="24"/>
              </w:rPr>
            </w:pPr>
            <w:r>
              <w:rPr>
                <w:sz w:val="24"/>
              </w:rPr>
              <w:t>las normas</w:t>
            </w:r>
          </w:p>
        </w:tc>
        <w:tc>
          <w:tcPr>
            <w:tcW w:w="2519" w:type="dxa"/>
            <w:vMerge/>
            <w:tcBorders>
              <w:top w:val="nil"/>
            </w:tcBorders>
          </w:tcPr>
          <w:p>
            <w:pPr>
              <w:rPr>
                <w:sz w:val="2"/>
                <w:szCs w:val="2"/>
              </w:rPr>
            </w:pPr>
          </w:p>
        </w:tc>
        <w:tc>
          <w:tcPr>
            <w:tcW w:w="2518" w:type="dxa"/>
            <w:vMerge/>
            <w:tcBorders>
              <w:top w:val="nil"/>
            </w:tcBorders>
          </w:tcPr>
          <w:p>
            <w:pPr>
              <w:rPr>
                <w:sz w:val="2"/>
                <w:szCs w:val="2"/>
              </w:rPr>
            </w:pPr>
          </w:p>
        </w:tc>
        <w:tc>
          <w:tcPr>
            <w:tcW w:w="2518" w:type="dxa"/>
            <w:vMerge/>
            <w:tcBorders>
              <w:top w:val="nil"/>
            </w:tcBorders>
          </w:tcPr>
          <w:p>
            <w:pPr>
              <w:rPr>
                <w:sz w:val="2"/>
                <w:szCs w:val="2"/>
              </w:rPr>
            </w:pPr>
          </w:p>
        </w:tc>
        <w:tc>
          <w:tcPr>
            <w:tcW w:w="2519" w:type="dxa"/>
            <w:tcBorders>
              <w:top w:val="nil"/>
              <w:bottom w:val="nil"/>
            </w:tcBorders>
          </w:tcPr>
          <w:p>
            <w:pPr>
              <w:pStyle w:val="TableParagraph"/>
              <w:spacing w:line="246" w:lineRule="exact"/>
              <w:ind w:left="57"/>
              <w:rPr>
                <w:sz w:val="24"/>
              </w:rPr>
            </w:pPr>
            <w:r>
              <w:rPr>
                <w:sz w:val="24"/>
              </w:rPr>
              <w:t>las normas</w:t>
            </w:r>
          </w:p>
        </w:tc>
      </w:tr>
      <w:tr>
        <w:trPr>
          <w:trHeight w:val="265" w:hRule="atLeast"/>
        </w:trPr>
        <w:tc>
          <w:tcPr>
            <w:tcW w:w="2518" w:type="dxa"/>
            <w:tcBorders>
              <w:top w:val="nil"/>
              <w:bottom w:val="nil"/>
            </w:tcBorders>
          </w:tcPr>
          <w:p>
            <w:pPr>
              <w:pStyle w:val="TableParagraph"/>
              <w:spacing w:line="246" w:lineRule="exact"/>
              <w:ind w:left="58"/>
              <w:rPr>
                <w:sz w:val="24"/>
              </w:rPr>
            </w:pPr>
            <w:r>
              <w:rPr>
                <w:sz w:val="24"/>
              </w:rPr>
              <w:t>California para</w:t>
            </w:r>
          </w:p>
        </w:tc>
        <w:tc>
          <w:tcPr>
            <w:tcW w:w="2518" w:type="dxa"/>
            <w:tcBorders>
              <w:top w:val="nil"/>
              <w:bottom w:val="nil"/>
            </w:tcBorders>
          </w:tcPr>
          <w:p>
            <w:pPr>
              <w:pStyle w:val="TableParagraph"/>
              <w:spacing w:line="246" w:lineRule="exact"/>
              <w:ind w:left="58"/>
              <w:rPr>
                <w:sz w:val="24"/>
              </w:rPr>
            </w:pPr>
            <w:r>
              <w:rPr>
                <w:sz w:val="24"/>
              </w:rPr>
              <w:t>Aumentó 10 puntos</w:t>
            </w:r>
          </w:p>
        </w:tc>
        <w:tc>
          <w:tcPr>
            <w:tcW w:w="2519" w:type="dxa"/>
            <w:vMerge/>
            <w:tcBorders>
              <w:top w:val="nil"/>
            </w:tcBorders>
          </w:tcPr>
          <w:p>
            <w:pPr>
              <w:rPr>
                <w:sz w:val="2"/>
                <w:szCs w:val="2"/>
              </w:rPr>
            </w:pPr>
          </w:p>
        </w:tc>
        <w:tc>
          <w:tcPr>
            <w:tcW w:w="2518" w:type="dxa"/>
            <w:vMerge/>
            <w:tcBorders>
              <w:top w:val="nil"/>
            </w:tcBorders>
          </w:tcPr>
          <w:p>
            <w:pPr>
              <w:rPr>
                <w:sz w:val="2"/>
                <w:szCs w:val="2"/>
              </w:rPr>
            </w:pPr>
          </w:p>
        </w:tc>
        <w:tc>
          <w:tcPr>
            <w:tcW w:w="2518" w:type="dxa"/>
            <w:vMerge/>
            <w:tcBorders>
              <w:top w:val="nil"/>
            </w:tcBorders>
          </w:tcPr>
          <w:p>
            <w:pPr>
              <w:rPr>
                <w:sz w:val="2"/>
                <w:szCs w:val="2"/>
              </w:rPr>
            </w:pPr>
          </w:p>
        </w:tc>
        <w:tc>
          <w:tcPr>
            <w:tcW w:w="2519" w:type="dxa"/>
            <w:tcBorders>
              <w:top w:val="nil"/>
              <w:bottom w:val="nil"/>
            </w:tcBorders>
          </w:tcPr>
          <w:p>
            <w:pPr>
              <w:pStyle w:val="TableParagraph"/>
              <w:spacing w:line="246" w:lineRule="exact"/>
              <w:ind w:left="57"/>
              <w:rPr>
                <w:sz w:val="24"/>
              </w:rPr>
            </w:pPr>
            <w:r>
              <w:rPr>
                <w:sz w:val="24"/>
              </w:rPr>
              <w:t>Se mantuvo</w:t>
            </w:r>
          </w:p>
        </w:tc>
      </w:tr>
      <w:tr>
        <w:trPr>
          <w:trHeight w:val="265" w:hRule="atLeast"/>
        </w:trPr>
        <w:tc>
          <w:tcPr>
            <w:tcW w:w="2518" w:type="dxa"/>
            <w:tcBorders>
              <w:top w:val="nil"/>
              <w:bottom w:val="nil"/>
            </w:tcBorders>
          </w:tcPr>
          <w:p>
            <w:pPr>
              <w:pStyle w:val="TableParagraph"/>
              <w:spacing w:line="246" w:lineRule="exact"/>
              <w:ind w:left="58"/>
              <w:rPr>
                <w:sz w:val="24"/>
              </w:rPr>
            </w:pPr>
            <w:r>
              <w:rPr>
                <w:sz w:val="24"/>
              </w:rPr>
              <w:t>matemáticas</w:t>
            </w:r>
          </w:p>
        </w:tc>
        <w:tc>
          <w:tcPr>
            <w:tcW w:w="2518" w:type="dxa"/>
            <w:tcBorders>
              <w:top w:val="nil"/>
              <w:bottom w:val="nil"/>
            </w:tcBorders>
          </w:tcPr>
          <w:p>
            <w:pPr>
              <w:pStyle w:val="TableParagraph"/>
              <w:spacing w:line="246" w:lineRule="exact"/>
              <w:ind w:left="58"/>
              <w:rPr>
                <w:sz w:val="24"/>
              </w:rPr>
            </w:pPr>
            <w:r>
              <w:rPr>
                <w:sz w:val="24"/>
              </w:rPr>
              <w:t>Educación Especial:</w:t>
            </w:r>
          </w:p>
        </w:tc>
        <w:tc>
          <w:tcPr>
            <w:tcW w:w="2519" w:type="dxa"/>
            <w:vMerge/>
            <w:tcBorders>
              <w:top w:val="nil"/>
            </w:tcBorders>
          </w:tcPr>
          <w:p>
            <w:pPr>
              <w:rPr>
                <w:sz w:val="2"/>
                <w:szCs w:val="2"/>
              </w:rPr>
            </w:pPr>
          </w:p>
        </w:tc>
        <w:tc>
          <w:tcPr>
            <w:tcW w:w="2518" w:type="dxa"/>
            <w:vMerge/>
            <w:tcBorders>
              <w:top w:val="nil"/>
            </w:tcBorders>
          </w:tcPr>
          <w:p>
            <w:pPr>
              <w:rPr>
                <w:sz w:val="2"/>
                <w:szCs w:val="2"/>
              </w:rPr>
            </w:pPr>
          </w:p>
        </w:tc>
        <w:tc>
          <w:tcPr>
            <w:tcW w:w="2518" w:type="dxa"/>
            <w:vMerge/>
            <w:tcBorders>
              <w:top w:val="nil"/>
            </w:tcBorders>
          </w:tcPr>
          <w:p>
            <w:pPr>
              <w:rPr>
                <w:sz w:val="2"/>
                <w:szCs w:val="2"/>
              </w:rPr>
            </w:pPr>
          </w:p>
        </w:tc>
        <w:tc>
          <w:tcPr>
            <w:tcW w:w="2519" w:type="dxa"/>
            <w:tcBorders>
              <w:top w:val="nil"/>
              <w:bottom w:val="nil"/>
            </w:tcBorders>
          </w:tcPr>
          <w:p>
            <w:pPr>
              <w:pStyle w:val="TableParagraph"/>
              <w:spacing w:line="246" w:lineRule="exact"/>
              <w:ind w:left="57"/>
              <w:rPr>
                <w:sz w:val="24"/>
              </w:rPr>
            </w:pPr>
            <w:r>
              <w:rPr>
                <w:sz w:val="24"/>
              </w:rPr>
              <w:t>Educación Especial:</w:t>
            </w:r>
          </w:p>
        </w:tc>
      </w:tr>
      <w:tr>
        <w:trPr>
          <w:trHeight w:val="601" w:hRule="atLeast"/>
        </w:trPr>
        <w:tc>
          <w:tcPr>
            <w:tcW w:w="2518" w:type="dxa"/>
            <w:tcBorders>
              <w:top w:val="nil"/>
            </w:tcBorders>
          </w:tcPr>
          <w:p>
            <w:pPr>
              <w:pStyle w:val="TableParagraph"/>
              <w:rPr>
                <w:rFonts w:ascii="Times New Roman"/>
                <w:sz w:val="22"/>
              </w:rPr>
            </w:pPr>
          </w:p>
        </w:tc>
        <w:tc>
          <w:tcPr>
            <w:tcW w:w="2518" w:type="dxa"/>
            <w:tcBorders>
              <w:top w:val="nil"/>
            </w:tcBorders>
          </w:tcPr>
          <w:p>
            <w:pPr>
              <w:pStyle w:val="TableParagraph"/>
              <w:spacing w:line="263" w:lineRule="exact"/>
              <w:ind w:left="58"/>
              <w:rPr>
                <w:sz w:val="24"/>
              </w:rPr>
            </w:pPr>
            <w:r>
              <w:rPr>
                <w:sz w:val="24"/>
              </w:rPr>
              <w:t>datos no informados</w:t>
            </w:r>
          </w:p>
        </w:tc>
        <w:tc>
          <w:tcPr>
            <w:tcW w:w="2519" w:type="dxa"/>
            <w:vMerge/>
            <w:tcBorders>
              <w:top w:val="nil"/>
            </w:tcBorders>
          </w:tcPr>
          <w:p>
            <w:pPr>
              <w:rPr>
                <w:sz w:val="2"/>
                <w:szCs w:val="2"/>
              </w:rPr>
            </w:pPr>
          </w:p>
        </w:tc>
        <w:tc>
          <w:tcPr>
            <w:tcW w:w="2518" w:type="dxa"/>
            <w:vMerge/>
            <w:tcBorders>
              <w:top w:val="nil"/>
            </w:tcBorders>
          </w:tcPr>
          <w:p>
            <w:pPr>
              <w:rPr>
                <w:sz w:val="2"/>
                <w:szCs w:val="2"/>
              </w:rPr>
            </w:pPr>
          </w:p>
        </w:tc>
        <w:tc>
          <w:tcPr>
            <w:tcW w:w="2518" w:type="dxa"/>
            <w:vMerge/>
            <w:tcBorders>
              <w:top w:val="nil"/>
            </w:tcBorders>
          </w:tcPr>
          <w:p>
            <w:pPr>
              <w:rPr>
                <w:sz w:val="2"/>
                <w:szCs w:val="2"/>
              </w:rPr>
            </w:pPr>
          </w:p>
        </w:tc>
        <w:tc>
          <w:tcPr>
            <w:tcW w:w="2519" w:type="dxa"/>
            <w:tcBorders>
              <w:top w:val="nil"/>
            </w:tcBorders>
          </w:tcPr>
          <w:p>
            <w:pPr>
              <w:pStyle w:val="TableParagraph"/>
              <w:spacing w:line="263" w:lineRule="exact"/>
              <w:ind w:left="57"/>
              <w:rPr>
                <w:sz w:val="24"/>
              </w:rPr>
            </w:pPr>
            <w:r>
              <w:rPr>
                <w:sz w:val="24"/>
              </w:rPr>
              <w:t>datos no informados</w:t>
            </w:r>
          </w:p>
        </w:tc>
      </w:tr>
      <w:tr>
        <w:trPr>
          <w:trHeight w:val="332" w:hRule="atLeast"/>
        </w:trPr>
        <w:tc>
          <w:tcPr>
            <w:tcW w:w="2518" w:type="dxa"/>
            <w:tcBorders>
              <w:bottom w:val="nil"/>
            </w:tcBorders>
          </w:tcPr>
          <w:p>
            <w:pPr>
              <w:pStyle w:val="TableParagraph"/>
              <w:spacing w:line="259" w:lineRule="exact" w:before="54"/>
              <w:ind w:left="58"/>
              <w:rPr>
                <w:sz w:val="24"/>
              </w:rPr>
            </w:pPr>
            <w:r>
              <w:rPr>
                <w:sz w:val="24"/>
              </w:rPr>
              <w:t>Priodidad 4F: Tasa de</w:t>
            </w:r>
          </w:p>
        </w:tc>
        <w:tc>
          <w:tcPr>
            <w:tcW w:w="2518" w:type="dxa"/>
            <w:tcBorders>
              <w:bottom w:val="nil"/>
            </w:tcBorders>
          </w:tcPr>
          <w:p>
            <w:pPr>
              <w:pStyle w:val="TableParagraph"/>
              <w:spacing w:line="259" w:lineRule="exact" w:before="54"/>
              <w:ind w:left="58"/>
              <w:rPr>
                <w:sz w:val="24"/>
              </w:rPr>
            </w:pPr>
            <w:r>
              <w:rPr>
                <w:sz w:val="24"/>
              </w:rPr>
              <w:t>2020-2021</w:t>
            </w:r>
          </w:p>
        </w:tc>
        <w:tc>
          <w:tcPr>
            <w:tcW w:w="2519" w:type="dxa"/>
            <w:vMerge w:val="restart"/>
          </w:tcPr>
          <w:p>
            <w:pPr>
              <w:pStyle w:val="TableParagraph"/>
              <w:rPr>
                <w:rFonts w:ascii="Times New Roman"/>
                <w:sz w:val="22"/>
              </w:rPr>
            </w:pPr>
          </w:p>
        </w:tc>
        <w:tc>
          <w:tcPr>
            <w:tcW w:w="2518" w:type="dxa"/>
            <w:vMerge w:val="restart"/>
          </w:tcPr>
          <w:p>
            <w:pPr>
              <w:pStyle w:val="TableParagraph"/>
              <w:rPr>
                <w:rFonts w:ascii="Times New Roman"/>
                <w:sz w:val="22"/>
              </w:rPr>
            </w:pPr>
          </w:p>
        </w:tc>
        <w:tc>
          <w:tcPr>
            <w:tcW w:w="2518" w:type="dxa"/>
            <w:vMerge w:val="restart"/>
          </w:tcPr>
          <w:p>
            <w:pPr>
              <w:pStyle w:val="TableParagraph"/>
              <w:rPr>
                <w:rFonts w:ascii="Times New Roman"/>
                <w:sz w:val="22"/>
              </w:rPr>
            </w:pPr>
          </w:p>
        </w:tc>
        <w:tc>
          <w:tcPr>
            <w:tcW w:w="2519" w:type="dxa"/>
            <w:tcBorders>
              <w:bottom w:val="nil"/>
            </w:tcBorders>
          </w:tcPr>
          <w:p>
            <w:pPr>
              <w:pStyle w:val="TableParagraph"/>
              <w:spacing w:line="259" w:lineRule="exact" w:before="54"/>
              <w:ind w:left="57"/>
              <w:rPr>
                <w:sz w:val="24"/>
              </w:rPr>
            </w:pPr>
            <w:r>
              <w:rPr>
                <w:sz w:val="24"/>
              </w:rPr>
              <w:t>2023-2024</w:t>
            </w:r>
          </w:p>
        </w:tc>
      </w:tr>
      <w:tr>
        <w:trPr>
          <w:trHeight w:val="265" w:hRule="atLeast"/>
        </w:trPr>
        <w:tc>
          <w:tcPr>
            <w:tcW w:w="2518" w:type="dxa"/>
            <w:tcBorders>
              <w:top w:val="nil"/>
              <w:bottom w:val="nil"/>
            </w:tcBorders>
          </w:tcPr>
          <w:p>
            <w:pPr>
              <w:pStyle w:val="TableParagraph"/>
              <w:spacing w:line="246" w:lineRule="exact"/>
              <w:ind w:left="58"/>
              <w:rPr>
                <w:sz w:val="24"/>
              </w:rPr>
            </w:pPr>
            <w:r>
              <w:rPr>
                <w:sz w:val="24"/>
              </w:rPr>
              <w:t>reclasificación de los</w:t>
            </w:r>
          </w:p>
        </w:tc>
        <w:tc>
          <w:tcPr>
            <w:tcW w:w="2518" w:type="dxa"/>
            <w:tcBorders>
              <w:top w:val="nil"/>
              <w:bottom w:val="nil"/>
            </w:tcBorders>
          </w:tcPr>
          <w:p>
            <w:pPr>
              <w:pStyle w:val="TableParagraph"/>
              <w:spacing w:line="246" w:lineRule="exact"/>
              <w:ind w:left="58"/>
              <w:rPr>
                <w:sz w:val="24"/>
              </w:rPr>
            </w:pPr>
            <w:r>
              <w:rPr>
                <w:sz w:val="24"/>
              </w:rPr>
              <w:t>12 estudiantes del</w:t>
            </w:r>
          </w:p>
        </w:tc>
        <w:tc>
          <w:tcPr>
            <w:tcW w:w="2519" w:type="dxa"/>
            <w:vMerge/>
            <w:tcBorders>
              <w:top w:val="nil"/>
            </w:tcBorders>
          </w:tcPr>
          <w:p>
            <w:pPr>
              <w:rPr>
                <w:sz w:val="2"/>
                <w:szCs w:val="2"/>
              </w:rPr>
            </w:pPr>
          </w:p>
        </w:tc>
        <w:tc>
          <w:tcPr>
            <w:tcW w:w="2518" w:type="dxa"/>
            <w:vMerge/>
            <w:tcBorders>
              <w:top w:val="nil"/>
            </w:tcBorders>
          </w:tcPr>
          <w:p>
            <w:pPr>
              <w:rPr>
                <w:sz w:val="2"/>
                <w:szCs w:val="2"/>
              </w:rPr>
            </w:pPr>
          </w:p>
        </w:tc>
        <w:tc>
          <w:tcPr>
            <w:tcW w:w="2518" w:type="dxa"/>
            <w:vMerge/>
            <w:tcBorders>
              <w:top w:val="nil"/>
            </w:tcBorders>
          </w:tcPr>
          <w:p>
            <w:pPr>
              <w:rPr>
                <w:sz w:val="2"/>
                <w:szCs w:val="2"/>
              </w:rPr>
            </w:pPr>
          </w:p>
        </w:tc>
        <w:tc>
          <w:tcPr>
            <w:tcW w:w="2519" w:type="dxa"/>
            <w:tcBorders>
              <w:top w:val="nil"/>
              <w:bottom w:val="nil"/>
            </w:tcBorders>
          </w:tcPr>
          <w:p>
            <w:pPr>
              <w:pStyle w:val="TableParagraph"/>
              <w:spacing w:line="246" w:lineRule="exact"/>
              <w:ind w:left="57"/>
              <w:rPr>
                <w:sz w:val="24"/>
              </w:rPr>
            </w:pPr>
            <w:r>
              <w:rPr>
                <w:sz w:val="24"/>
              </w:rPr>
              <w:t>12 estudiantes del</w:t>
            </w:r>
          </w:p>
        </w:tc>
      </w:tr>
      <w:tr>
        <w:trPr>
          <w:trHeight w:val="265" w:hRule="atLeast"/>
        </w:trPr>
        <w:tc>
          <w:tcPr>
            <w:tcW w:w="2518" w:type="dxa"/>
            <w:tcBorders>
              <w:top w:val="nil"/>
              <w:bottom w:val="nil"/>
            </w:tcBorders>
          </w:tcPr>
          <w:p>
            <w:pPr>
              <w:pStyle w:val="TableParagraph"/>
              <w:spacing w:line="246" w:lineRule="exact"/>
              <w:ind w:left="58"/>
              <w:rPr>
                <w:sz w:val="24"/>
              </w:rPr>
            </w:pPr>
            <w:r>
              <w:rPr>
                <w:sz w:val="24"/>
              </w:rPr>
              <w:t>estudiantes del inglés</w:t>
            </w:r>
          </w:p>
        </w:tc>
        <w:tc>
          <w:tcPr>
            <w:tcW w:w="2518" w:type="dxa"/>
            <w:tcBorders>
              <w:top w:val="nil"/>
              <w:bottom w:val="nil"/>
            </w:tcBorders>
          </w:tcPr>
          <w:p>
            <w:pPr>
              <w:pStyle w:val="TableParagraph"/>
              <w:spacing w:line="246" w:lineRule="exact"/>
              <w:ind w:left="58"/>
              <w:rPr>
                <w:sz w:val="24"/>
              </w:rPr>
            </w:pPr>
            <w:r>
              <w:rPr>
                <w:sz w:val="24"/>
              </w:rPr>
              <w:t>inglés reclasificados</w:t>
            </w:r>
          </w:p>
        </w:tc>
        <w:tc>
          <w:tcPr>
            <w:tcW w:w="2519" w:type="dxa"/>
            <w:vMerge/>
            <w:tcBorders>
              <w:top w:val="nil"/>
            </w:tcBorders>
          </w:tcPr>
          <w:p>
            <w:pPr>
              <w:rPr>
                <w:sz w:val="2"/>
                <w:szCs w:val="2"/>
              </w:rPr>
            </w:pPr>
          </w:p>
        </w:tc>
        <w:tc>
          <w:tcPr>
            <w:tcW w:w="2518" w:type="dxa"/>
            <w:vMerge/>
            <w:tcBorders>
              <w:top w:val="nil"/>
            </w:tcBorders>
          </w:tcPr>
          <w:p>
            <w:pPr>
              <w:rPr>
                <w:sz w:val="2"/>
                <w:szCs w:val="2"/>
              </w:rPr>
            </w:pPr>
          </w:p>
        </w:tc>
        <w:tc>
          <w:tcPr>
            <w:tcW w:w="2518" w:type="dxa"/>
            <w:vMerge/>
            <w:tcBorders>
              <w:top w:val="nil"/>
            </w:tcBorders>
          </w:tcPr>
          <w:p>
            <w:pPr>
              <w:rPr>
                <w:sz w:val="2"/>
                <w:szCs w:val="2"/>
              </w:rPr>
            </w:pPr>
          </w:p>
        </w:tc>
        <w:tc>
          <w:tcPr>
            <w:tcW w:w="2519" w:type="dxa"/>
            <w:tcBorders>
              <w:top w:val="nil"/>
              <w:bottom w:val="nil"/>
            </w:tcBorders>
          </w:tcPr>
          <w:p>
            <w:pPr>
              <w:pStyle w:val="TableParagraph"/>
              <w:spacing w:line="246" w:lineRule="exact"/>
              <w:ind w:left="57"/>
              <w:rPr>
                <w:sz w:val="24"/>
              </w:rPr>
            </w:pPr>
            <w:r>
              <w:rPr>
                <w:sz w:val="24"/>
              </w:rPr>
              <w:t>inglés reclasificados</w:t>
            </w:r>
          </w:p>
        </w:tc>
      </w:tr>
      <w:tr>
        <w:trPr>
          <w:trHeight w:val="265" w:hRule="atLeast"/>
        </w:trPr>
        <w:tc>
          <w:tcPr>
            <w:tcW w:w="2518" w:type="dxa"/>
            <w:tcBorders>
              <w:top w:val="nil"/>
              <w:bottom w:val="nil"/>
            </w:tcBorders>
          </w:tcPr>
          <w:p>
            <w:pPr>
              <w:pStyle w:val="TableParagraph"/>
              <w:spacing w:line="246" w:lineRule="exact"/>
              <w:ind w:left="58"/>
              <w:rPr>
                <w:sz w:val="24"/>
              </w:rPr>
            </w:pPr>
            <w:r>
              <w:rPr>
                <w:sz w:val="24"/>
              </w:rPr>
              <w:t>(EL, por sus siglas en</w:t>
            </w:r>
          </w:p>
        </w:tc>
        <w:tc>
          <w:tcPr>
            <w:tcW w:w="2518" w:type="dxa"/>
            <w:tcBorders>
              <w:top w:val="nil"/>
              <w:bottom w:val="nil"/>
            </w:tcBorders>
          </w:tcPr>
          <w:p>
            <w:pPr>
              <w:pStyle w:val="TableParagraph"/>
              <w:spacing w:line="246" w:lineRule="exact"/>
              <w:ind w:left="58"/>
              <w:rPr>
                <w:sz w:val="24"/>
              </w:rPr>
            </w:pPr>
            <w:r>
              <w:rPr>
                <w:sz w:val="24"/>
              </w:rPr>
              <w:t>en la primavera de</w:t>
            </w:r>
          </w:p>
        </w:tc>
        <w:tc>
          <w:tcPr>
            <w:tcW w:w="2519" w:type="dxa"/>
            <w:vMerge/>
            <w:tcBorders>
              <w:top w:val="nil"/>
            </w:tcBorders>
          </w:tcPr>
          <w:p>
            <w:pPr>
              <w:rPr>
                <w:sz w:val="2"/>
                <w:szCs w:val="2"/>
              </w:rPr>
            </w:pPr>
          </w:p>
        </w:tc>
        <w:tc>
          <w:tcPr>
            <w:tcW w:w="2518" w:type="dxa"/>
            <w:vMerge/>
            <w:tcBorders>
              <w:top w:val="nil"/>
            </w:tcBorders>
          </w:tcPr>
          <w:p>
            <w:pPr>
              <w:rPr>
                <w:sz w:val="2"/>
                <w:szCs w:val="2"/>
              </w:rPr>
            </w:pPr>
          </w:p>
        </w:tc>
        <w:tc>
          <w:tcPr>
            <w:tcW w:w="2518" w:type="dxa"/>
            <w:vMerge/>
            <w:tcBorders>
              <w:top w:val="nil"/>
            </w:tcBorders>
          </w:tcPr>
          <w:p>
            <w:pPr>
              <w:rPr>
                <w:sz w:val="2"/>
                <w:szCs w:val="2"/>
              </w:rPr>
            </w:pPr>
          </w:p>
        </w:tc>
        <w:tc>
          <w:tcPr>
            <w:tcW w:w="2519" w:type="dxa"/>
            <w:tcBorders>
              <w:top w:val="nil"/>
              <w:bottom w:val="nil"/>
            </w:tcBorders>
          </w:tcPr>
          <w:p>
            <w:pPr>
              <w:pStyle w:val="TableParagraph"/>
              <w:spacing w:line="246" w:lineRule="exact"/>
              <w:ind w:left="57"/>
              <w:rPr>
                <w:sz w:val="24"/>
              </w:rPr>
            </w:pPr>
            <w:r>
              <w:rPr>
                <w:sz w:val="24"/>
              </w:rPr>
              <w:t>en la primavera de</w:t>
            </w:r>
          </w:p>
        </w:tc>
      </w:tr>
      <w:tr>
        <w:trPr>
          <w:trHeight w:val="265" w:hRule="atLeast"/>
        </w:trPr>
        <w:tc>
          <w:tcPr>
            <w:tcW w:w="2518" w:type="dxa"/>
            <w:tcBorders>
              <w:top w:val="nil"/>
              <w:bottom w:val="nil"/>
            </w:tcBorders>
          </w:tcPr>
          <w:p>
            <w:pPr>
              <w:pStyle w:val="TableParagraph"/>
              <w:spacing w:line="246" w:lineRule="exact"/>
              <w:ind w:left="58"/>
              <w:rPr>
                <w:sz w:val="24"/>
              </w:rPr>
            </w:pPr>
            <w:r>
              <w:rPr>
                <w:sz w:val="24"/>
              </w:rPr>
              <w:t>inglés)</w:t>
            </w:r>
          </w:p>
        </w:tc>
        <w:tc>
          <w:tcPr>
            <w:tcW w:w="2518" w:type="dxa"/>
            <w:tcBorders>
              <w:top w:val="nil"/>
              <w:bottom w:val="nil"/>
            </w:tcBorders>
          </w:tcPr>
          <w:p>
            <w:pPr>
              <w:pStyle w:val="TableParagraph"/>
              <w:spacing w:line="246" w:lineRule="exact"/>
              <w:ind w:left="58"/>
              <w:rPr>
                <w:sz w:val="24"/>
              </w:rPr>
            </w:pPr>
            <w:r>
              <w:rPr>
                <w:sz w:val="24"/>
              </w:rPr>
              <w:t>2020</w:t>
            </w:r>
          </w:p>
        </w:tc>
        <w:tc>
          <w:tcPr>
            <w:tcW w:w="2519" w:type="dxa"/>
            <w:vMerge/>
            <w:tcBorders>
              <w:top w:val="nil"/>
            </w:tcBorders>
          </w:tcPr>
          <w:p>
            <w:pPr>
              <w:rPr>
                <w:sz w:val="2"/>
                <w:szCs w:val="2"/>
              </w:rPr>
            </w:pPr>
          </w:p>
        </w:tc>
        <w:tc>
          <w:tcPr>
            <w:tcW w:w="2518" w:type="dxa"/>
            <w:vMerge/>
            <w:tcBorders>
              <w:top w:val="nil"/>
            </w:tcBorders>
          </w:tcPr>
          <w:p>
            <w:pPr>
              <w:rPr>
                <w:sz w:val="2"/>
                <w:szCs w:val="2"/>
              </w:rPr>
            </w:pPr>
          </w:p>
        </w:tc>
        <w:tc>
          <w:tcPr>
            <w:tcW w:w="2518" w:type="dxa"/>
            <w:vMerge/>
            <w:tcBorders>
              <w:top w:val="nil"/>
            </w:tcBorders>
          </w:tcPr>
          <w:p>
            <w:pPr>
              <w:rPr>
                <w:sz w:val="2"/>
                <w:szCs w:val="2"/>
              </w:rPr>
            </w:pPr>
          </w:p>
        </w:tc>
        <w:tc>
          <w:tcPr>
            <w:tcW w:w="2519" w:type="dxa"/>
            <w:tcBorders>
              <w:top w:val="nil"/>
              <w:bottom w:val="nil"/>
            </w:tcBorders>
          </w:tcPr>
          <w:p>
            <w:pPr>
              <w:pStyle w:val="TableParagraph"/>
              <w:spacing w:line="246" w:lineRule="exact"/>
              <w:ind w:left="57"/>
              <w:rPr>
                <w:sz w:val="24"/>
              </w:rPr>
            </w:pPr>
            <w:r>
              <w:rPr>
                <w:sz w:val="24"/>
              </w:rPr>
              <w:t>2024</w:t>
            </w:r>
          </w:p>
        </w:tc>
      </w:tr>
      <w:tr>
        <w:trPr>
          <w:trHeight w:val="265" w:hRule="atLeast"/>
        </w:trPr>
        <w:tc>
          <w:tcPr>
            <w:tcW w:w="2518" w:type="dxa"/>
            <w:tcBorders>
              <w:top w:val="nil"/>
              <w:bottom w:val="nil"/>
            </w:tcBorders>
          </w:tcPr>
          <w:p>
            <w:pPr>
              <w:pStyle w:val="TableParagraph"/>
              <w:spacing w:line="246" w:lineRule="exact"/>
              <w:ind w:left="58"/>
              <w:rPr>
                <w:sz w:val="24"/>
              </w:rPr>
            </w:pPr>
            <w:r>
              <w:rPr>
                <w:sz w:val="24"/>
              </w:rPr>
              <w:t>Fuente: Política de</w:t>
            </w:r>
          </w:p>
        </w:tc>
        <w:tc>
          <w:tcPr>
            <w:tcW w:w="2518" w:type="dxa"/>
            <w:tcBorders>
              <w:top w:val="nil"/>
              <w:bottom w:val="nil"/>
            </w:tcBorders>
          </w:tcPr>
          <w:p>
            <w:pPr>
              <w:pStyle w:val="TableParagraph"/>
              <w:rPr>
                <w:rFonts w:ascii="Times New Roman"/>
                <w:sz w:val="18"/>
              </w:rPr>
            </w:pPr>
          </w:p>
        </w:tc>
        <w:tc>
          <w:tcPr>
            <w:tcW w:w="2519" w:type="dxa"/>
            <w:vMerge/>
            <w:tcBorders>
              <w:top w:val="nil"/>
            </w:tcBorders>
          </w:tcPr>
          <w:p>
            <w:pPr>
              <w:rPr>
                <w:sz w:val="2"/>
                <w:szCs w:val="2"/>
              </w:rPr>
            </w:pPr>
          </w:p>
        </w:tc>
        <w:tc>
          <w:tcPr>
            <w:tcW w:w="2518" w:type="dxa"/>
            <w:vMerge/>
            <w:tcBorders>
              <w:top w:val="nil"/>
            </w:tcBorders>
          </w:tcPr>
          <w:p>
            <w:pPr>
              <w:rPr>
                <w:sz w:val="2"/>
                <w:szCs w:val="2"/>
              </w:rPr>
            </w:pPr>
          </w:p>
        </w:tc>
        <w:tc>
          <w:tcPr>
            <w:tcW w:w="2518" w:type="dxa"/>
            <w:vMerge/>
            <w:tcBorders>
              <w:top w:val="nil"/>
            </w:tcBorders>
          </w:tcPr>
          <w:p>
            <w:pPr>
              <w:rPr>
                <w:sz w:val="2"/>
                <w:szCs w:val="2"/>
              </w:rPr>
            </w:pPr>
          </w:p>
        </w:tc>
        <w:tc>
          <w:tcPr>
            <w:tcW w:w="2519" w:type="dxa"/>
            <w:tcBorders>
              <w:top w:val="nil"/>
              <w:bottom w:val="nil"/>
            </w:tcBorders>
          </w:tcPr>
          <w:p>
            <w:pPr>
              <w:pStyle w:val="TableParagraph"/>
              <w:rPr>
                <w:rFonts w:ascii="Times New Roman"/>
                <w:sz w:val="18"/>
              </w:rPr>
            </w:pPr>
          </w:p>
        </w:tc>
      </w:tr>
      <w:tr>
        <w:trPr>
          <w:trHeight w:val="601" w:hRule="atLeast"/>
        </w:trPr>
        <w:tc>
          <w:tcPr>
            <w:tcW w:w="2518" w:type="dxa"/>
            <w:tcBorders>
              <w:top w:val="nil"/>
            </w:tcBorders>
          </w:tcPr>
          <w:p>
            <w:pPr>
              <w:pStyle w:val="TableParagraph"/>
              <w:spacing w:line="263" w:lineRule="exact"/>
              <w:ind w:left="58"/>
              <w:rPr>
                <w:sz w:val="24"/>
              </w:rPr>
            </w:pPr>
            <w:r>
              <w:rPr>
                <w:sz w:val="24"/>
              </w:rPr>
              <w:t>reclasificación</w:t>
            </w:r>
          </w:p>
        </w:tc>
        <w:tc>
          <w:tcPr>
            <w:tcW w:w="2518" w:type="dxa"/>
            <w:tcBorders>
              <w:top w:val="nil"/>
            </w:tcBorders>
          </w:tcPr>
          <w:p>
            <w:pPr>
              <w:pStyle w:val="TableParagraph"/>
              <w:rPr>
                <w:rFonts w:ascii="Times New Roman"/>
                <w:sz w:val="22"/>
              </w:rPr>
            </w:pPr>
          </w:p>
        </w:tc>
        <w:tc>
          <w:tcPr>
            <w:tcW w:w="2519" w:type="dxa"/>
            <w:vMerge/>
            <w:tcBorders>
              <w:top w:val="nil"/>
            </w:tcBorders>
          </w:tcPr>
          <w:p>
            <w:pPr>
              <w:rPr>
                <w:sz w:val="2"/>
                <w:szCs w:val="2"/>
              </w:rPr>
            </w:pPr>
          </w:p>
        </w:tc>
        <w:tc>
          <w:tcPr>
            <w:tcW w:w="2518" w:type="dxa"/>
            <w:vMerge/>
            <w:tcBorders>
              <w:top w:val="nil"/>
            </w:tcBorders>
          </w:tcPr>
          <w:p>
            <w:pPr>
              <w:rPr>
                <w:sz w:val="2"/>
                <w:szCs w:val="2"/>
              </w:rPr>
            </w:pPr>
          </w:p>
        </w:tc>
        <w:tc>
          <w:tcPr>
            <w:tcW w:w="2518" w:type="dxa"/>
            <w:vMerge/>
            <w:tcBorders>
              <w:top w:val="nil"/>
            </w:tcBorders>
          </w:tcPr>
          <w:p>
            <w:pPr>
              <w:rPr>
                <w:sz w:val="2"/>
                <w:szCs w:val="2"/>
              </w:rPr>
            </w:pPr>
          </w:p>
        </w:tc>
        <w:tc>
          <w:tcPr>
            <w:tcW w:w="2519" w:type="dxa"/>
            <w:tcBorders>
              <w:top w:val="nil"/>
            </w:tcBorders>
          </w:tcPr>
          <w:p>
            <w:pPr>
              <w:pStyle w:val="TableParagraph"/>
              <w:rPr>
                <w:rFonts w:ascii="Times New Roman"/>
                <w:sz w:val="22"/>
              </w:rPr>
            </w:pPr>
          </w:p>
        </w:tc>
      </w:tr>
    </w:tbl>
    <w:p>
      <w:pPr>
        <w:spacing w:after="0"/>
        <w:rPr>
          <w:rFonts w:ascii="Times New Roman"/>
          <w:sz w:val="22"/>
        </w:rPr>
        <w:sectPr>
          <w:pgSz w:w="15840" w:h="12240" w:orient="landscape"/>
          <w:pgMar w:header="0" w:footer="284" w:top="640" w:bottom="480" w:left="120" w:right="120"/>
        </w:sectPr>
      </w:pPr>
    </w:p>
    <w:tbl>
      <w:tblPr>
        <w:tblW w:w="0" w:type="auto"/>
        <w:jc w:val="left"/>
        <w:tblInd w:w="250"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ayout w:type="fixed"/>
        <w:tblCellMar>
          <w:top w:w="0" w:type="dxa"/>
          <w:left w:w="0" w:type="dxa"/>
          <w:bottom w:w="0" w:type="dxa"/>
          <w:right w:w="0" w:type="dxa"/>
        </w:tblCellMar>
        <w:tblLook w:val="01E0"/>
      </w:tblPr>
      <w:tblGrid>
        <w:gridCol w:w="2518"/>
        <w:gridCol w:w="2518"/>
        <w:gridCol w:w="2519"/>
        <w:gridCol w:w="2518"/>
        <w:gridCol w:w="2518"/>
        <w:gridCol w:w="2519"/>
      </w:tblGrid>
      <w:tr>
        <w:trPr>
          <w:trHeight w:val="667" w:hRule="atLeast"/>
        </w:trPr>
        <w:tc>
          <w:tcPr>
            <w:tcW w:w="2518" w:type="dxa"/>
            <w:shd w:val="clear" w:color="auto" w:fill="DBE5F1"/>
          </w:tcPr>
          <w:p>
            <w:pPr>
              <w:pStyle w:val="TableParagraph"/>
              <w:spacing w:before="192"/>
              <w:ind w:left="845" w:right="835"/>
              <w:jc w:val="center"/>
              <w:rPr>
                <w:sz w:val="24"/>
              </w:rPr>
            </w:pPr>
            <w:r>
              <w:rPr>
                <w:sz w:val="24"/>
              </w:rPr>
              <w:t>Medida</w:t>
            </w:r>
          </w:p>
        </w:tc>
        <w:tc>
          <w:tcPr>
            <w:tcW w:w="2518" w:type="dxa"/>
            <w:shd w:val="clear" w:color="auto" w:fill="DBE5F1"/>
          </w:tcPr>
          <w:p>
            <w:pPr>
              <w:pStyle w:val="TableParagraph"/>
              <w:spacing w:before="192"/>
              <w:ind w:left="732"/>
              <w:rPr>
                <w:sz w:val="24"/>
              </w:rPr>
            </w:pPr>
            <w:r>
              <w:rPr>
                <w:sz w:val="24"/>
              </w:rPr>
              <w:t>Referente</w:t>
            </w:r>
          </w:p>
        </w:tc>
        <w:tc>
          <w:tcPr>
            <w:tcW w:w="2519" w:type="dxa"/>
            <w:shd w:val="clear" w:color="auto" w:fill="DBE5F1"/>
          </w:tcPr>
          <w:p>
            <w:pPr>
              <w:pStyle w:val="TableParagraph"/>
              <w:spacing w:before="192"/>
              <w:ind w:left="178"/>
              <w:rPr>
                <w:sz w:val="24"/>
              </w:rPr>
            </w:pPr>
            <w:r>
              <w:rPr>
                <w:sz w:val="24"/>
              </w:rPr>
              <w:t>Resultado del Año 1</w:t>
            </w:r>
          </w:p>
        </w:tc>
        <w:tc>
          <w:tcPr>
            <w:tcW w:w="2518" w:type="dxa"/>
            <w:shd w:val="clear" w:color="auto" w:fill="DBE5F1"/>
          </w:tcPr>
          <w:p>
            <w:pPr>
              <w:pStyle w:val="TableParagraph"/>
              <w:spacing w:before="192"/>
              <w:ind w:left="178"/>
              <w:rPr>
                <w:sz w:val="24"/>
              </w:rPr>
            </w:pPr>
            <w:r>
              <w:rPr>
                <w:sz w:val="24"/>
              </w:rPr>
              <w:t>Resultado del Año 2</w:t>
            </w:r>
          </w:p>
        </w:tc>
        <w:tc>
          <w:tcPr>
            <w:tcW w:w="2518" w:type="dxa"/>
            <w:shd w:val="clear" w:color="auto" w:fill="DBE5F1"/>
          </w:tcPr>
          <w:p>
            <w:pPr>
              <w:pStyle w:val="TableParagraph"/>
              <w:spacing w:before="192"/>
              <w:ind w:left="178"/>
              <w:rPr>
                <w:sz w:val="24"/>
              </w:rPr>
            </w:pPr>
            <w:r>
              <w:rPr>
                <w:sz w:val="24"/>
              </w:rPr>
              <w:t>Resultado del Año 3</w:t>
            </w:r>
          </w:p>
        </w:tc>
        <w:tc>
          <w:tcPr>
            <w:tcW w:w="2519" w:type="dxa"/>
            <w:shd w:val="clear" w:color="auto" w:fill="DBE5F1"/>
          </w:tcPr>
          <w:p>
            <w:pPr>
              <w:pStyle w:val="TableParagraph"/>
              <w:spacing w:before="54"/>
              <w:ind w:left="518" w:right="176" w:hanging="314"/>
              <w:rPr>
                <w:sz w:val="24"/>
              </w:rPr>
            </w:pPr>
            <w:r>
              <w:rPr>
                <w:sz w:val="24"/>
              </w:rPr>
              <w:t>Resultado Deseado para 2023–24</w:t>
            </w:r>
          </w:p>
        </w:tc>
      </w:tr>
      <w:tr>
        <w:trPr>
          <w:trHeight w:val="4531" w:hRule="atLeast"/>
        </w:trPr>
        <w:tc>
          <w:tcPr>
            <w:tcW w:w="2518" w:type="dxa"/>
          </w:tcPr>
          <w:p>
            <w:pPr>
              <w:pStyle w:val="TableParagraph"/>
              <w:spacing w:before="54"/>
              <w:ind w:left="58" w:right="95"/>
              <w:rPr>
                <w:sz w:val="24"/>
              </w:rPr>
            </w:pPr>
            <w:r>
              <w:rPr>
                <w:sz w:val="24"/>
              </w:rPr>
              <w:t>Prioridad 4e de la Fórmula de Financiamiento y Control Local (LCFF, por sus siglas en inglés): progreso hacia el dominio del Idioma inglés (EL, por sus siglas en inglés) Fuente: Interfaz de datos escolares de California</w:t>
            </w:r>
          </w:p>
          <w:p>
            <w:pPr>
              <w:pStyle w:val="TableParagraph"/>
              <w:ind w:left="58" w:right="86"/>
              <w:jc w:val="both"/>
              <w:rPr>
                <w:sz w:val="24"/>
              </w:rPr>
            </w:pPr>
            <w:r>
              <w:rPr>
                <w:sz w:val="24"/>
              </w:rPr>
              <w:t>Indicador de Progreso de los Estudiantes de Inglés</w:t>
            </w:r>
          </w:p>
        </w:tc>
        <w:tc>
          <w:tcPr>
            <w:tcW w:w="2518" w:type="dxa"/>
          </w:tcPr>
          <w:p>
            <w:pPr>
              <w:pStyle w:val="TableParagraph"/>
              <w:spacing w:before="54"/>
              <w:ind w:left="58" w:right="295"/>
              <w:rPr>
                <w:sz w:val="24"/>
              </w:rPr>
            </w:pPr>
            <w:r>
              <w:rPr>
                <w:sz w:val="24"/>
              </w:rPr>
              <w:t>Interfaz de otoño de 2019</w:t>
            </w:r>
          </w:p>
          <w:p>
            <w:pPr>
              <w:pStyle w:val="TableParagraph"/>
              <w:ind w:left="58" w:right="175"/>
              <w:rPr>
                <w:sz w:val="24"/>
              </w:rPr>
            </w:pPr>
            <w:r>
              <w:rPr>
                <w:sz w:val="24"/>
              </w:rPr>
              <w:t>66.7% avanza hacia el dominio del idioma inglés</w:t>
            </w:r>
          </w:p>
        </w:tc>
        <w:tc>
          <w:tcPr>
            <w:tcW w:w="2519" w:type="dxa"/>
          </w:tcPr>
          <w:p>
            <w:pPr>
              <w:pStyle w:val="TableParagraph"/>
              <w:rPr>
                <w:rFonts w:ascii="Times New Roman"/>
                <w:sz w:val="22"/>
              </w:rPr>
            </w:pPr>
          </w:p>
        </w:tc>
        <w:tc>
          <w:tcPr>
            <w:tcW w:w="2518" w:type="dxa"/>
          </w:tcPr>
          <w:p>
            <w:pPr>
              <w:pStyle w:val="TableParagraph"/>
              <w:rPr>
                <w:rFonts w:ascii="Times New Roman"/>
                <w:sz w:val="22"/>
              </w:rPr>
            </w:pPr>
          </w:p>
        </w:tc>
        <w:tc>
          <w:tcPr>
            <w:tcW w:w="2518" w:type="dxa"/>
          </w:tcPr>
          <w:p>
            <w:pPr>
              <w:pStyle w:val="TableParagraph"/>
              <w:rPr>
                <w:rFonts w:ascii="Times New Roman"/>
                <w:sz w:val="22"/>
              </w:rPr>
            </w:pPr>
          </w:p>
        </w:tc>
        <w:tc>
          <w:tcPr>
            <w:tcW w:w="2519" w:type="dxa"/>
          </w:tcPr>
          <w:p>
            <w:pPr>
              <w:pStyle w:val="TableParagraph"/>
              <w:spacing w:before="54"/>
              <w:ind w:left="57" w:right="297"/>
              <w:rPr>
                <w:sz w:val="24"/>
              </w:rPr>
            </w:pPr>
            <w:r>
              <w:rPr>
                <w:sz w:val="24"/>
              </w:rPr>
              <w:t>Interfaz de otoño de 2024</w:t>
            </w:r>
          </w:p>
          <w:p>
            <w:pPr>
              <w:pStyle w:val="TableParagraph"/>
              <w:ind w:left="57" w:right="177"/>
              <w:rPr>
                <w:sz w:val="24"/>
              </w:rPr>
            </w:pPr>
            <w:r>
              <w:rPr>
                <w:sz w:val="24"/>
              </w:rPr>
              <w:t>66.7% avanza hacia el dominio del idioma inglés</w:t>
            </w:r>
          </w:p>
        </w:tc>
      </w:tr>
      <w:tr>
        <w:trPr>
          <w:trHeight w:val="4807" w:hRule="atLeast"/>
        </w:trPr>
        <w:tc>
          <w:tcPr>
            <w:tcW w:w="2518" w:type="dxa"/>
          </w:tcPr>
          <w:p>
            <w:pPr>
              <w:pStyle w:val="TableParagraph"/>
              <w:spacing w:before="54"/>
              <w:ind w:left="58" w:right="95"/>
              <w:rPr>
                <w:sz w:val="24"/>
              </w:rPr>
            </w:pPr>
            <w:r>
              <w:rPr>
                <w:sz w:val="24"/>
              </w:rPr>
              <w:t>Prioridad 7a de la Fórmula de Financiamiento y Control Local (LCFF, por sus siglas en inglés): progreso hacia el dominio del Idioma inglés (EL, por sus siglas en inglés): alumnos inscritos y tienen acceso a un amplio curso de herramientas</w:t>
            </w:r>
          </w:p>
          <w:p>
            <w:pPr>
              <w:pStyle w:val="TableParagraph"/>
              <w:ind w:left="58" w:right="228"/>
              <w:rPr>
                <w:sz w:val="24"/>
              </w:rPr>
            </w:pPr>
            <w:r>
              <w:rPr>
                <w:sz w:val="24"/>
              </w:rPr>
              <w:t>Fuente: Herramienta del Indicador Local Prioridad 7</w:t>
            </w:r>
          </w:p>
        </w:tc>
        <w:tc>
          <w:tcPr>
            <w:tcW w:w="2518" w:type="dxa"/>
          </w:tcPr>
          <w:p>
            <w:pPr>
              <w:pStyle w:val="TableParagraph"/>
              <w:spacing w:before="54"/>
              <w:ind w:left="58" w:right="388"/>
              <w:rPr>
                <w:sz w:val="24"/>
              </w:rPr>
            </w:pPr>
            <w:r>
              <w:rPr>
                <w:sz w:val="24"/>
              </w:rPr>
              <w:t>0% de acceso a un Programa de Educación para la Salud integral</w:t>
            </w:r>
          </w:p>
        </w:tc>
        <w:tc>
          <w:tcPr>
            <w:tcW w:w="2519" w:type="dxa"/>
          </w:tcPr>
          <w:p>
            <w:pPr>
              <w:pStyle w:val="TableParagraph"/>
              <w:rPr>
                <w:rFonts w:ascii="Times New Roman"/>
                <w:sz w:val="22"/>
              </w:rPr>
            </w:pPr>
          </w:p>
        </w:tc>
        <w:tc>
          <w:tcPr>
            <w:tcW w:w="2518" w:type="dxa"/>
          </w:tcPr>
          <w:p>
            <w:pPr>
              <w:pStyle w:val="TableParagraph"/>
              <w:rPr>
                <w:rFonts w:ascii="Times New Roman"/>
                <w:sz w:val="22"/>
              </w:rPr>
            </w:pPr>
          </w:p>
        </w:tc>
        <w:tc>
          <w:tcPr>
            <w:tcW w:w="2518" w:type="dxa"/>
          </w:tcPr>
          <w:p>
            <w:pPr>
              <w:pStyle w:val="TableParagraph"/>
              <w:rPr>
                <w:rFonts w:ascii="Times New Roman"/>
                <w:sz w:val="22"/>
              </w:rPr>
            </w:pPr>
          </w:p>
        </w:tc>
        <w:tc>
          <w:tcPr>
            <w:tcW w:w="2519" w:type="dxa"/>
          </w:tcPr>
          <w:p>
            <w:pPr>
              <w:pStyle w:val="TableParagraph"/>
              <w:rPr>
                <w:rFonts w:ascii="Times New Roman"/>
                <w:sz w:val="22"/>
              </w:rPr>
            </w:pPr>
          </w:p>
        </w:tc>
      </w:tr>
      <w:tr>
        <w:trPr>
          <w:trHeight w:val="667" w:hRule="atLeast"/>
        </w:trPr>
        <w:tc>
          <w:tcPr>
            <w:tcW w:w="2518" w:type="dxa"/>
          </w:tcPr>
          <w:p>
            <w:pPr>
              <w:pStyle w:val="TableParagraph"/>
              <w:spacing w:before="54"/>
              <w:ind w:left="58" w:right="41"/>
              <w:rPr>
                <w:sz w:val="24"/>
              </w:rPr>
            </w:pPr>
            <w:r>
              <w:rPr>
                <w:sz w:val="24"/>
              </w:rPr>
              <w:t>Prioridad 7b y 7c de la Fórmula de</w:t>
            </w:r>
          </w:p>
        </w:tc>
        <w:tc>
          <w:tcPr>
            <w:tcW w:w="2518" w:type="dxa"/>
          </w:tcPr>
          <w:p>
            <w:pPr>
              <w:pStyle w:val="TableParagraph"/>
              <w:spacing w:before="54"/>
              <w:ind w:left="58" w:right="268"/>
              <w:rPr>
                <w:sz w:val="24"/>
              </w:rPr>
            </w:pPr>
            <w:r>
              <w:rPr>
                <w:sz w:val="24"/>
              </w:rPr>
              <w:t>28% de los alumnos sin duplicar</w:t>
            </w:r>
          </w:p>
        </w:tc>
        <w:tc>
          <w:tcPr>
            <w:tcW w:w="2519" w:type="dxa"/>
          </w:tcPr>
          <w:p>
            <w:pPr>
              <w:pStyle w:val="TableParagraph"/>
              <w:rPr>
                <w:rFonts w:ascii="Times New Roman"/>
                <w:sz w:val="22"/>
              </w:rPr>
            </w:pPr>
          </w:p>
        </w:tc>
        <w:tc>
          <w:tcPr>
            <w:tcW w:w="2518" w:type="dxa"/>
          </w:tcPr>
          <w:p>
            <w:pPr>
              <w:pStyle w:val="TableParagraph"/>
              <w:rPr>
                <w:rFonts w:ascii="Times New Roman"/>
                <w:sz w:val="22"/>
              </w:rPr>
            </w:pPr>
          </w:p>
        </w:tc>
        <w:tc>
          <w:tcPr>
            <w:tcW w:w="2518" w:type="dxa"/>
          </w:tcPr>
          <w:p>
            <w:pPr>
              <w:pStyle w:val="TableParagraph"/>
              <w:rPr>
                <w:rFonts w:ascii="Times New Roman"/>
                <w:sz w:val="22"/>
              </w:rPr>
            </w:pPr>
          </w:p>
        </w:tc>
        <w:tc>
          <w:tcPr>
            <w:tcW w:w="2519" w:type="dxa"/>
          </w:tcPr>
          <w:p>
            <w:pPr>
              <w:pStyle w:val="TableParagraph"/>
              <w:spacing w:before="54"/>
              <w:ind w:left="57" w:right="270"/>
              <w:rPr>
                <w:sz w:val="24"/>
              </w:rPr>
            </w:pPr>
            <w:r>
              <w:rPr>
                <w:sz w:val="24"/>
              </w:rPr>
              <w:t>35% de los alumnos sin duplicar</w:t>
            </w:r>
          </w:p>
        </w:tc>
      </w:tr>
    </w:tbl>
    <w:p>
      <w:pPr>
        <w:spacing w:after="0"/>
        <w:rPr>
          <w:sz w:val="24"/>
        </w:rPr>
        <w:sectPr>
          <w:pgSz w:w="15840" w:h="12240" w:orient="landscape"/>
          <w:pgMar w:header="0" w:footer="284" w:top="640" w:bottom="480" w:left="120" w:right="120"/>
        </w:sectPr>
      </w:pPr>
    </w:p>
    <w:tbl>
      <w:tblPr>
        <w:tblW w:w="0" w:type="auto"/>
        <w:jc w:val="left"/>
        <w:tblInd w:w="250"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ayout w:type="fixed"/>
        <w:tblCellMar>
          <w:top w:w="0" w:type="dxa"/>
          <w:left w:w="0" w:type="dxa"/>
          <w:bottom w:w="0" w:type="dxa"/>
          <w:right w:w="0" w:type="dxa"/>
        </w:tblCellMar>
        <w:tblLook w:val="01E0"/>
      </w:tblPr>
      <w:tblGrid>
        <w:gridCol w:w="2518"/>
        <w:gridCol w:w="2518"/>
        <w:gridCol w:w="2519"/>
        <w:gridCol w:w="2518"/>
        <w:gridCol w:w="2518"/>
        <w:gridCol w:w="2519"/>
      </w:tblGrid>
      <w:tr>
        <w:trPr>
          <w:trHeight w:val="667" w:hRule="atLeast"/>
        </w:trPr>
        <w:tc>
          <w:tcPr>
            <w:tcW w:w="2518" w:type="dxa"/>
            <w:shd w:val="clear" w:color="auto" w:fill="DBE5F1"/>
          </w:tcPr>
          <w:p>
            <w:pPr>
              <w:pStyle w:val="TableParagraph"/>
              <w:spacing w:before="192"/>
              <w:ind w:left="845" w:right="835"/>
              <w:jc w:val="center"/>
              <w:rPr>
                <w:sz w:val="24"/>
              </w:rPr>
            </w:pPr>
            <w:r>
              <w:rPr>
                <w:sz w:val="24"/>
              </w:rPr>
              <w:t>Medida</w:t>
            </w:r>
          </w:p>
        </w:tc>
        <w:tc>
          <w:tcPr>
            <w:tcW w:w="2518" w:type="dxa"/>
            <w:shd w:val="clear" w:color="auto" w:fill="DBE5F1"/>
          </w:tcPr>
          <w:p>
            <w:pPr>
              <w:pStyle w:val="TableParagraph"/>
              <w:spacing w:before="192"/>
              <w:ind w:left="732"/>
              <w:rPr>
                <w:sz w:val="24"/>
              </w:rPr>
            </w:pPr>
            <w:r>
              <w:rPr>
                <w:sz w:val="24"/>
              </w:rPr>
              <w:t>Referente</w:t>
            </w:r>
          </w:p>
        </w:tc>
        <w:tc>
          <w:tcPr>
            <w:tcW w:w="2519" w:type="dxa"/>
            <w:shd w:val="clear" w:color="auto" w:fill="DBE5F1"/>
          </w:tcPr>
          <w:p>
            <w:pPr>
              <w:pStyle w:val="TableParagraph"/>
              <w:spacing w:before="192"/>
              <w:ind w:left="178"/>
              <w:rPr>
                <w:sz w:val="24"/>
              </w:rPr>
            </w:pPr>
            <w:r>
              <w:rPr>
                <w:sz w:val="24"/>
              </w:rPr>
              <w:t>Resultado del Año 1</w:t>
            </w:r>
          </w:p>
        </w:tc>
        <w:tc>
          <w:tcPr>
            <w:tcW w:w="2518" w:type="dxa"/>
            <w:shd w:val="clear" w:color="auto" w:fill="DBE5F1"/>
          </w:tcPr>
          <w:p>
            <w:pPr>
              <w:pStyle w:val="TableParagraph"/>
              <w:spacing w:before="192"/>
              <w:ind w:left="178"/>
              <w:rPr>
                <w:sz w:val="24"/>
              </w:rPr>
            </w:pPr>
            <w:r>
              <w:rPr>
                <w:sz w:val="24"/>
              </w:rPr>
              <w:t>Resultado del Año 2</w:t>
            </w:r>
          </w:p>
        </w:tc>
        <w:tc>
          <w:tcPr>
            <w:tcW w:w="2518" w:type="dxa"/>
            <w:shd w:val="clear" w:color="auto" w:fill="DBE5F1"/>
          </w:tcPr>
          <w:p>
            <w:pPr>
              <w:pStyle w:val="TableParagraph"/>
              <w:spacing w:before="192"/>
              <w:ind w:left="178"/>
              <w:rPr>
                <w:sz w:val="24"/>
              </w:rPr>
            </w:pPr>
            <w:r>
              <w:rPr>
                <w:sz w:val="24"/>
              </w:rPr>
              <w:t>Resultado del Año 3</w:t>
            </w:r>
          </w:p>
        </w:tc>
        <w:tc>
          <w:tcPr>
            <w:tcW w:w="2519" w:type="dxa"/>
            <w:shd w:val="clear" w:color="auto" w:fill="DBE5F1"/>
          </w:tcPr>
          <w:p>
            <w:pPr>
              <w:pStyle w:val="TableParagraph"/>
              <w:spacing w:before="54"/>
              <w:ind w:left="518" w:right="176" w:hanging="314"/>
              <w:rPr>
                <w:sz w:val="24"/>
              </w:rPr>
            </w:pPr>
            <w:r>
              <w:rPr>
                <w:sz w:val="24"/>
              </w:rPr>
              <w:t>Resultado Deseado para 2023–24</w:t>
            </w:r>
          </w:p>
        </w:tc>
      </w:tr>
      <w:tr>
        <w:trPr>
          <w:trHeight w:val="332" w:hRule="atLeast"/>
        </w:trPr>
        <w:tc>
          <w:tcPr>
            <w:tcW w:w="2518" w:type="dxa"/>
            <w:tcBorders>
              <w:bottom w:val="nil"/>
            </w:tcBorders>
          </w:tcPr>
          <w:p>
            <w:pPr>
              <w:pStyle w:val="TableParagraph"/>
              <w:spacing w:line="259" w:lineRule="exact" w:before="54"/>
              <w:ind w:left="58"/>
              <w:rPr>
                <w:sz w:val="24"/>
              </w:rPr>
            </w:pPr>
            <w:r>
              <w:rPr>
                <w:sz w:val="24"/>
              </w:rPr>
              <w:t>Financiamiento y</w:t>
            </w:r>
          </w:p>
        </w:tc>
        <w:tc>
          <w:tcPr>
            <w:tcW w:w="2518" w:type="dxa"/>
            <w:tcBorders>
              <w:bottom w:val="nil"/>
            </w:tcBorders>
          </w:tcPr>
          <w:p>
            <w:pPr>
              <w:pStyle w:val="TableParagraph"/>
              <w:spacing w:line="259" w:lineRule="exact" w:before="54"/>
              <w:ind w:left="58"/>
              <w:rPr>
                <w:sz w:val="24"/>
              </w:rPr>
            </w:pPr>
            <w:r>
              <w:rPr>
                <w:sz w:val="24"/>
              </w:rPr>
              <w:t>identificados para</w:t>
            </w:r>
          </w:p>
        </w:tc>
        <w:tc>
          <w:tcPr>
            <w:tcW w:w="2519" w:type="dxa"/>
            <w:vMerge w:val="restart"/>
          </w:tcPr>
          <w:p>
            <w:pPr>
              <w:pStyle w:val="TableParagraph"/>
              <w:rPr>
                <w:rFonts w:ascii="Times New Roman"/>
                <w:sz w:val="22"/>
              </w:rPr>
            </w:pPr>
          </w:p>
        </w:tc>
        <w:tc>
          <w:tcPr>
            <w:tcW w:w="2518" w:type="dxa"/>
            <w:vMerge w:val="restart"/>
          </w:tcPr>
          <w:p>
            <w:pPr>
              <w:pStyle w:val="TableParagraph"/>
              <w:rPr>
                <w:rFonts w:ascii="Times New Roman"/>
                <w:sz w:val="22"/>
              </w:rPr>
            </w:pPr>
          </w:p>
        </w:tc>
        <w:tc>
          <w:tcPr>
            <w:tcW w:w="2518" w:type="dxa"/>
            <w:vMerge w:val="restart"/>
          </w:tcPr>
          <w:p>
            <w:pPr>
              <w:pStyle w:val="TableParagraph"/>
              <w:rPr>
                <w:rFonts w:ascii="Times New Roman"/>
                <w:sz w:val="22"/>
              </w:rPr>
            </w:pPr>
          </w:p>
        </w:tc>
        <w:tc>
          <w:tcPr>
            <w:tcW w:w="2519" w:type="dxa"/>
            <w:tcBorders>
              <w:bottom w:val="nil"/>
            </w:tcBorders>
          </w:tcPr>
          <w:p>
            <w:pPr>
              <w:pStyle w:val="TableParagraph"/>
              <w:spacing w:line="259" w:lineRule="exact" w:before="54"/>
              <w:ind w:left="57"/>
              <w:rPr>
                <w:sz w:val="24"/>
              </w:rPr>
            </w:pPr>
            <w:r>
              <w:rPr>
                <w:sz w:val="24"/>
              </w:rPr>
              <w:t>identificados para</w:t>
            </w:r>
          </w:p>
        </w:tc>
      </w:tr>
      <w:tr>
        <w:trPr>
          <w:trHeight w:val="265" w:hRule="atLeast"/>
        </w:trPr>
        <w:tc>
          <w:tcPr>
            <w:tcW w:w="2518" w:type="dxa"/>
            <w:tcBorders>
              <w:top w:val="nil"/>
              <w:bottom w:val="nil"/>
            </w:tcBorders>
          </w:tcPr>
          <w:p>
            <w:pPr>
              <w:pStyle w:val="TableParagraph"/>
              <w:spacing w:line="246" w:lineRule="exact"/>
              <w:ind w:left="58"/>
              <w:rPr>
                <w:sz w:val="24"/>
              </w:rPr>
            </w:pPr>
            <w:r>
              <w:rPr>
                <w:sz w:val="24"/>
              </w:rPr>
              <w:t>Control Local (LCFF,</w:t>
            </w:r>
          </w:p>
        </w:tc>
        <w:tc>
          <w:tcPr>
            <w:tcW w:w="2518" w:type="dxa"/>
            <w:tcBorders>
              <w:top w:val="nil"/>
              <w:bottom w:val="nil"/>
            </w:tcBorders>
          </w:tcPr>
          <w:p>
            <w:pPr>
              <w:pStyle w:val="TableParagraph"/>
              <w:spacing w:line="246" w:lineRule="exact"/>
              <w:ind w:left="58"/>
              <w:rPr>
                <w:sz w:val="24"/>
              </w:rPr>
            </w:pPr>
            <w:r>
              <w:rPr>
                <w:sz w:val="24"/>
              </w:rPr>
              <w:t>participar en la</w:t>
            </w:r>
          </w:p>
        </w:tc>
        <w:tc>
          <w:tcPr>
            <w:tcW w:w="2519" w:type="dxa"/>
            <w:vMerge/>
            <w:tcBorders>
              <w:top w:val="nil"/>
            </w:tcBorders>
          </w:tcPr>
          <w:p>
            <w:pPr>
              <w:rPr>
                <w:sz w:val="2"/>
                <w:szCs w:val="2"/>
              </w:rPr>
            </w:pPr>
          </w:p>
        </w:tc>
        <w:tc>
          <w:tcPr>
            <w:tcW w:w="2518" w:type="dxa"/>
            <w:vMerge/>
            <w:tcBorders>
              <w:top w:val="nil"/>
            </w:tcBorders>
          </w:tcPr>
          <w:p>
            <w:pPr>
              <w:rPr>
                <w:sz w:val="2"/>
                <w:szCs w:val="2"/>
              </w:rPr>
            </w:pPr>
          </w:p>
        </w:tc>
        <w:tc>
          <w:tcPr>
            <w:tcW w:w="2518" w:type="dxa"/>
            <w:vMerge/>
            <w:tcBorders>
              <w:top w:val="nil"/>
            </w:tcBorders>
          </w:tcPr>
          <w:p>
            <w:pPr>
              <w:rPr>
                <w:sz w:val="2"/>
                <w:szCs w:val="2"/>
              </w:rPr>
            </w:pPr>
          </w:p>
        </w:tc>
        <w:tc>
          <w:tcPr>
            <w:tcW w:w="2519" w:type="dxa"/>
            <w:tcBorders>
              <w:top w:val="nil"/>
              <w:bottom w:val="nil"/>
            </w:tcBorders>
          </w:tcPr>
          <w:p>
            <w:pPr>
              <w:pStyle w:val="TableParagraph"/>
              <w:spacing w:line="246" w:lineRule="exact"/>
              <w:ind w:left="57"/>
              <w:rPr>
                <w:sz w:val="24"/>
              </w:rPr>
            </w:pPr>
            <w:r>
              <w:rPr>
                <w:sz w:val="24"/>
              </w:rPr>
              <w:t>participar en la</w:t>
            </w:r>
          </w:p>
        </w:tc>
      </w:tr>
      <w:tr>
        <w:trPr>
          <w:trHeight w:val="265" w:hRule="atLeast"/>
        </w:trPr>
        <w:tc>
          <w:tcPr>
            <w:tcW w:w="2518" w:type="dxa"/>
            <w:tcBorders>
              <w:top w:val="nil"/>
              <w:bottom w:val="nil"/>
            </w:tcBorders>
          </w:tcPr>
          <w:p>
            <w:pPr>
              <w:pStyle w:val="TableParagraph"/>
              <w:spacing w:line="246" w:lineRule="exact"/>
              <w:ind w:left="58"/>
              <w:rPr>
                <w:sz w:val="24"/>
              </w:rPr>
            </w:pPr>
            <w:r>
              <w:rPr>
                <w:sz w:val="24"/>
              </w:rPr>
              <w:t>por sus siglas en</w:t>
            </w:r>
          </w:p>
        </w:tc>
        <w:tc>
          <w:tcPr>
            <w:tcW w:w="2518" w:type="dxa"/>
            <w:tcBorders>
              <w:top w:val="nil"/>
              <w:bottom w:val="nil"/>
            </w:tcBorders>
          </w:tcPr>
          <w:p>
            <w:pPr>
              <w:pStyle w:val="TableParagraph"/>
              <w:spacing w:line="246" w:lineRule="exact"/>
              <w:ind w:left="58"/>
              <w:rPr>
                <w:sz w:val="24"/>
              </w:rPr>
            </w:pPr>
            <w:r>
              <w:rPr>
                <w:sz w:val="24"/>
              </w:rPr>
              <w:t>escuela de verano o</w:t>
            </w:r>
          </w:p>
        </w:tc>
        <w:tc>
          <w:tcPr>
            <w:tcW w:w="2519" w:type="dxa"/>
            <w:vMerge/>
            <w:tcBorders>
              <w:top w:val="nil"/>
            </w:tcBorders>
          </w:tcPr>
          <w:p>
            <w:pPr>
              <w:rPr>
                <w:sz w:val="2"/>
                <w:szCs w:val="2"/>
              </w:rPr>
            </w:pPr>
          </w:p>
        </w:tc>
        <w:tc>
          <w:tcPr>
            <w:tcW w:w="2518" w:type="dxa"/>
            <w:vMerge/>
            <w:tcBorders>
              <w:top w:val="nil"/>
            </w:tcBorders>
          </w:tcPr>
          <w:p>
            <w:pPr>
              <w:rPr>
                <w:sz w:val="2"/>
                <w:szCs w:val="2"/>
              </w:rPr>
            </w:pPr>
          </w:p>
        </w:tc>
        <w:tc>
          <w:tcPr>
            <w:tcW w:w="2518" w:type="dxa"/>
            <w:vMerge/>
            <w:tcBorders>
              <w:top w:val="nil"/>
            </w:tcBorders>
          </w:tcPr>
          <w:p>
            <w:pPr>
              <w:rPr>
                <w:sz w:val="2"/>
                <w:szCs w:val="2"/>
              </w:rPr>
            </w:pPr>
          </w:p>
        </w:tc>
        <w:tc>
          <w:tcPr>
            <w:tcW w:w="2519" w:type="dxa"/>
            <w:tcBorders>
              <w:top w:val="nil"/>
              <w:bottom w:val="nil"/>
            </w:tcBorders>
          </w:tcPr>
          <w:p>
            <w:pPr>
              <w:pStyle w:val="TableParagraph"/>
              <w:spacing w:line="246" w:lineRule="exact"/>
              <w:ind w:left="57"/>
              <w:rPr>
                <w:sz w:val="24"/>
              </w:rPr>
            </w:pPr>
            <w:r>
              <w:rPr>
                <w:sz w:val="24"/>
              </w:rPr>
              <w:t>escuela de verano o</w:t>
            </w:r>
          </w:p>
        </w:tc>
      </w:tr>
      <w:tr>
        <w:trPr>
          <w:trHeight w:val="265" w:hRule="atLeast"/>
        </w:trPr>
        <w:tc>
          <w:tcPr>
            <w:tcW w:w="2518" w:type="dxa"/>
            <w:tcBorders>
              <w:top w:val="nil"/>
              <w:bottom w:val="nil"/>
            </w:tcBorders>
          </w:tcPr>
          <w:p>
            <w:pPr>
              <w:pStyle w:val="TableParagraph"/>
              <w:spacing w:line="246" w:lineRule="exact"/>
              <w:ind w:left="58"/>
              <w:rPr>
                <w:sz w:val="24"/>
              </w:rPr>
            </w:pPr>
            <w:r>
              <w:rPr>
                <w:sz w:val="24"/>
              </w:rPr>
              <w:t>inglés): Programas y</w:t>
            </w:r>
          </w:p>
        </w:tc>
        <w:tc>
          <w:tcPr>
            <w:tcW w:w="2518" w:type="dxa"/>
            <w:tcBorders>
              <w:top w:val="nil"/>
              <w:bottom w:val="nil"/>
            </w:tcBorders>
          </w:tcPr>
          <w:p>
            <w:pPr>
              <w:pStyle w:val="TableParagraph"/>
              <w:spacing w:line="246" w:lineRule="exact"/>
              <w:ind w:left="58"/>
              <w:rPr>
                <w:sz w:val="24"/>
              </w:rPr>
            </w:pPr>
            <w:r>
              <w:rPr>
                <w:sz w:val="24"/>
              </w:rPr>
              <w:t>en la instrucción</w:t>
            </w:r>
          </w:p>
        </w:tc>
        <w:tc>
          <w:tcPr>
            <w:tcW w:w="2519" w:type="dxa"/>
            <w:vMerge/>
            <w:tcBorders>
              <w:top w:val="nil"/>
            </w:tcBorders>
          </w:tcPr>
          <w:p>
            <w:pPr>
              <w:rPr>
                <w:sz w:val="2"/>
                <w:szCs w:val="2"/>
              </w:rPr>
            </w:pPr>
          </w:p>
        </w:tc>
        <w:tc>
          <w:tcPr>
            <w:tcW w:w="2518" w:type="dxa"/>
            <w:vMerge/>
            <w:tcBorders>
              <w:top w:val="nil"/>
            </w:tcBorders>
          </w:tcPr>
          <w:p>
            <w:pPr>
              <w:rPr>
                <w:sz w:val="2"/>
                <w:szCs w:val="2"/>
              </w:rPr>
            </w:pPr>
          </w:p>
        </w:tc>
        <w:tc>
          <w:tcPr>
            <w:tcW w:w="2518" w:type="dxa"/>
            <w:vMerge/>
            <w:tcBorders>
              <w:top w:val="nil"/>
            </w:tcBorders>
          </w:tcPr>
          <w:p>
            <w:pPr>
              <w:rPr>
                <w:sz w:val="2"/>
                <w:szCs w:val="2"/>
              </w:rPr>
            </w:pPr>
          </w:p>
        </w:tc>
        <w:tc>
          <w:tcPr>
            <w:tcW w:w="2519" w:type="dxa"/>
            <w:tcBorders>
              <w:top w:val="nil"/>
              <w:bottom w:val="nil"/>
            </w:tcBorders>
          </w:tcPr>
          <w:p>
            <w:pPr>
              <w:pStyle w:val="TableParagraph"/>
              <w:spacing w:line="246" w:lineRule="exact"/>
              <w:ind w:left="57"/>
              <w:rPr>
                <w:sz w:val="24"/>
              </w:rPr>
            </w:pPr>
            <w:r>
              <w:rPr>
                <w:sz w:val="24"/>
              </w:rPr>
              <w:t>en la instrucción</w:t>
            </w:r>
          </w:p>
        </w:tc>
      </w:tr>
      <w:tr>
        <w:trPr>
          <w:trHeight w:val="265" w:hRule="atLeast"/>
        </w:trPr>
        <w:tc>
          <w:tcPr>
            <w:tcW w:w="2518" w:type="dxa"/>
            <w:tcBorders>
              <w:top w:val="nil"/>
              <w:bottom w:val="nil"/>
            </w:tcBorders>
          </w:tcPr>
          <w:p>
            <w:pPr>
              <w:pStyle w:val="TableParagraph"/>
              <w:spacing w:line="246" w:lineRule="exact"/>
              <w:ind w:left="58"/>
              <w:rPr>
                <w:sz w:val="24"/>
              </w:rPr>
            </w:pPr>
            <w:r>
              <w:rPr>
                <w:sz w:val="24"/>
              </w:rPr>
              <w:t>servicios</w:t>
            </w:r>
          </w:p>
        </w:tc>
        <w:tc>
          <w:tcPr>
            <w:tcW w:w="2518" w:type="dxa"/>
            <w:tcBorders>
              <w:top w:val="nil"/>
              <w:bottom w:val="nil"/>
            </w:tcBorders>
          </w:tcPr>
          <w:p>
            <w:pPr>
              <w:pStyle w:val="TableParagraph"/>
              <w:spacing w:line="246" w:lineRule="exact"/>
              <w:ind w:left="58"/>
              <w:rPr>
                <w:sz w:val="24"/>
              </w:rPr>
            </w:pPr>
            <w:r>
              <w:rPr>
                <w:sz w:val="24"/>
              </w:rPr>
              <w:t>adicional</w:t>
            </w:r>
          </w:p>
        </w:tc>
        <w:tc>
          <w:tcPr>
            <w:tcW w:w="2519" w:type="dxa"/>
            <w:vMerge/>
            <w:tcBorders>
              <w:top w:val="nil"/>
            </w:tcBorders>
          </w:tcPr>
          <w:p>
            <w:pPr>
              <w:rPr>
                <w:sz w:val="2"/>
                <w:szCs w:val="2"/>
              </w:rPr>
            </w:pPr>
          </w:p>
        </w:tc>
        <w:tc>
          <w:tcPr>
            <w:tcW w:w="2518" w:type="dxa"/>
            <w:vMerge/>
            <w:tcBorders>
              <w:top w:val="nil"/>
            </w:tcBorders>
          </w:tcPr>
          <w:p>
            <w:pPr>
              <w:rPr>
                <w:sz w:val="2"/>
                <w:szCs w:val="2"/>
              </w:rPr>
            </w:pPr>
          </w:p>
        </w:tc>
        <w:tc>
          <w:tcPr>
            <w:tcW w:w="2518" w:type="dxa"/>
            <w:vMerge/>
            <w:tcBorders>
              <w:top w:val="nil"/>
            </w:tcBorders>
          </w:tcPr>
          <w:p>
            <w:pPr>
              <w:rPr>
                <w:sz w:val="2"/>
                <w:szCs w:val="2"/>
              </w:rPr>
            </w:pPr>
          </w:p>
        </w:tc>
        <w:tc>
          <w:tcPr>
            <w:tcW w:w="2519" w:type="dxa"/>
            <w:tcBorders>
              <w:top w:val="nil"/>
              <w:bottom w:val="nil"/>
            </w:tcBorders>
          </w:tcPr>
          <w:p>
            <w:pPr>
              <w:pStyle w:val="TableParagraph"/>
              <w:spacing w:line="246" w:lineRule="exact"/>
              <w:ind w:left="57"/>
              <w:rPr>
                <w:sz w:val="24"/>
              </w:rPr>
            </w:pPr>
            <w:r>
              <w:rPr>
                <w:sz w:val="24"/>
              </w:rPr>
              <w:t>adicional</w:t>
            </w:r>
          </w:p>
        </w:tc>
      </w:tr>
      <w:tr>
        <w:trPr>
          <w:trHeight w:val="265" w:hRule="atLeast"/>
        </w:trPr>
        <w:tc>
          <w:tcPr>
            <w:tcW w:w="2518" w:type="dxa"/>
            <w:tcBorders>
              <w:top w:val="nil"/>
              <w:bottom w:val="nil"/>
            </w:tcBorders>
          </w:tcPr>
          <w:p>
            <w:pPr>
              <w:pStyle w:val="TableParagraph"/>
              <w:spacing w:line="246" w:lineRule="exact"/>
              <w:ind w:left="58"/>
              <w:rPr>
                <w:sz w:val="24"/>
              </w:rPr>
            </w:pPr>
            <w:r>
              <w:rPr>
                <w:sz w:val="24"/>
              </w:rPr>
              <w:t>desarrollados</w:t>
            </w:r>
          </w:p>
        </w:tc>
        <w:tc>
          <w:tcPr>
            <w:tcW w:w="2518" w:type="dxa"/>
            <w:tcBorders>
              <w:top w:val="nil"/>
              <w:bottom w:val="nil"/>
            </w:tcBorders>
          </w:tcPr>
          <w:p>
            <w:pPr>
              <w:pStyle w:val="TableParagraph"/>
              <w:spacing w:line="246" w:lineRule="exact"/>
              <w:ind w:left="58"/>
              <w:rPr>
                <w:sz w:val="24"/>
              </w:rPr>
            </w:pPr>
            <w:r>
              <w:rPr>
                <w:sz w:val="24"/>
              </w:rPr>
              <w:t>extracurricular asisten</w:t>
            </w:r>
          </w:p>
        </w:tc>
        <w:tc>
          <w:tcPr>
            <w:tcW w:w="2519" w:type="dxa"/>
            <w:vMerge/>
            <w:tcBorders>
              <w:top w:val="nil"/>
            </w:tcBorders>
          </w:tcPr>
          <w:p>
            <w:pPr>
              <w:rPr>
                <w:sz w:val="2"/>
                <w:szCs w:val="2"/>
              </w:rPr>
            </w:pPr>
          </w:p>
        </w:tc>
        <w:tc>
          <w:tcPr>
            <w:tcW w:w="2518" w:type="dxa"/>
            <w:vMerge/>
            <w:tcBorders>
              <w:top w:val="nil"/>
            </w:tcBorders>
          </w:tcPr>
          <w:p>
            <w:pPr>
              <w:rPr>
                <w:sz w:val="2"/>
                <w:szCs w:val="2"/>
              </w:rPr>
            </w:pPr>
          </w:p>
        </w:tc>
        <w:tc>
          <w:tcPr>
            <w:tcW w:w="2518" w:type="dxa"/>
            <w:vMerge/>
            <w:tcBorders>
              <w:top w:val="nil"/>
            </w:tcBorders>
          </w:tcPr>
          <w:p>
            <w:pPr>
              <w:rPr>
                <w:sz w:val="2"/>
                <w:szCs w:val="2"/>
              </w:rPr>
            </w:pPr>
          </w:p>
        </w:tc>
        <w:tc>
          <w:tcPr>
            <w:tcW w:w="2519" w:type="dxa"/>
            <w:tcBorders>
              <w:top w:val="nil"/>
              <w:bottom w:val="nil"/>
            </w:tcBorders>
          </w:tcPr>
          <w:p>
            <w:pPr>
              <w:pStyle w:val="TableParagraph"/>
              <w:spacing w:line="246" w:lineRule="exact"/>
              <w:ind w:left="57"/>
              <w:rPr>
                <w:sz w:val="24"/>
              </w:rPr>
            </w:pPr>
            <w:r>
              <w:rPr>
                <w:sz w:val="24"/>
              </w:rPr>
              <w:t>extracurricular asisten</w:t>
            </w:r>
          </w:p>
        </w:tc>
      </w:tr>
      <w:tr>
        <w:trPr>
          <w:trHeight w:val="265" w:hRule="atLeast"/>
        </w:trPr>
        <w:tc>
          <w:tcPr>
            <w:tcW w:w="2518" w:type="dxa"/>
            <w:tcBorders>
              <w:top w:val="nil"/>
              <w:bottom w:val="nil"/>
            </w:tcBorders>
          </w:tcPr>
          <w:p>
            <w:pPr>
              <w:pStyle w:val="TableParagraph"/>
              <w:spacing w:line="246" w:lineRule="exact"/>
              <w:ind w:left="58"/>
              <w:rPr>
                <w:sz w:val="24"/>
              </w:rPr>
            </w:pPr>
            <w:r>
              <w:rPr>
                <w:sz w:val="24"/>
              </w:rPr>
              <w:t>específicamente para</w:t>
            </w:r>
          </w:p>
        </w:tc>
        <w:tc>
          <w:tcPr>
            <w:tcW w:w="2518" w:type="dxa"/>
            <w:tcBorders>
              <w:top w:val="nil"/>
              <w:bottom w:val="nil"/>
            </w:tcBorders>
          </w:tcPr>
          <w:p>
            <w:pPr>
              <w:pStyle w:val="TableParagraph"/>
              <w:spacing w:line="246" w:lineRule="exact"/>
              <w:ind w:left="58"/>
              <w:rPr>
                <w:sz w:val="24"/>
              </w:rPr>
            </w:pPr>
            <w:r>
              <w:rPr>
                <w:sz w:val="24"/>
              </w:rPr>
              <w:t>regularmente</w:t>
            </w:r>
          </w:p>
        </w:tc>
        <w:tc>
          <w:tcPr>
            <w:tcW w:w="2519" w:type="dxa"/>
            <w:vMerge/>
            <w:tcBorders>
              <w:top w:val="nil"/>
            </w:tcBorders>
          </w:tcPr>
          <w:p>
            <w:pPr>
              <w:rPr>
                <w:sz w:val="2"/>
                <w:szCs w:val="2"/>
              </w:rPr>
            </w:pPr>
          </w:p>
        </w:tc>
        <w:tc>
          <w:tcPr>
            <w:tcW w:w="2518" w:type="dxa"/>
            <w:vMerge/>
            <w:tcBorders>
              <w:top w:val="nil"/>
            </w:tcBorders>
          </w:tcPr>
          <w:p>
            <w:pPr>
              <w:rPr>
                <w:sz w:val="2"/>
                <w:szCs w:val="2"/>
              </w:rPr>
            </w:pPr>
          </w:p>
        </w:tc>
        <w:tc>
          <w:tcPr>
            <w:tcW w:w="2518" w:type="dxa"/>
            <w:vMerge/>
            <w:tcBorders>
              <w:top w:val="nil"/>
            </w:tcBorders>
          </w:tcPr>
          <w:p>
            <w:pPr>
              <w:rPr>
                <w:sz w:val="2"/>
                <w:szCs w:val="2"/>
              </w:rPr>
            </w:pPr>
          </w:p>
        </w:tc>
        <w:tc>
          <w:tcPr>
            <w:tcW w:w="2519" w:type="dxa"/>
            <w:tcBorders>
              <w:top w:val="nil"/>
              <w:bottom w:val="nil"/>
            </w:tcBorders>
          </w:tcPr>
          <w:p>
            <w:pPr>
              <w:pStyle w:val="TableParagraph"/>
              <w:spacing w:line="246" w:lineRule="exact"/>
              <w:ind w:left="57"/>
              <w:rPr>
                <w:sz w:val="24"/>
              </w:rPr>
            </w:pPr>
            <w:r>
              <w:rPr>
                <w:sz w:val="24"/>
              </w:rPr>
              <w:t>regularmente</w:t>
            </w:r>
          </w:p>
        </w:tc>
      </w:tr>
      <w:tr>
        <w:trPr>
          <w:trHeight w:val="265" w:hRule="atLeast"/>
        </w:trPr>
        <w:tc>
          <w:tcPr>
            <w:tcW w:w="2518" w:type="dxa"/>
            <w:tcBorders>
              <w:top w:val="nil"/>
              <w:bottom w:val="nil"/>
            </w:tcBorders>
          </w:tcPr>
          <w:p>
            <w:pPr>
              <w:pStyle w:val="TableParagraph"/>
              <w:spacing w:line="246" w:lineRule="exact"/>
              <w:ind w:left="58"/>
              <w:rPr>
                <w:sz w:val="24"/>
              </w:rPr>
            </w:pPr>
            <w:r>
              <w:rPr>
                <w:sz w:val="24"/>
              </w:rPr>
              <w:t>alumnos sin duplicar y</w:t>
            </w:r>
          </w:p>
        </w:tc>
        <w:tc>
          <w:tcPr>
            <w:tcW w:w="2518" w:type="dxa"/>
            <w:tcBorders>
              <w:top w:val="nil"/>
              <w:bottom w:val="nil"/>
            </w:tcBorders>
          </w:tcPr>
          <w:p>
            <w:pPr>
              <w:pStyle w:val="TableParagraph"/>
              <w:spacing w:line="246" w:lineRule="exact"/>
              <w:ind w:left="58"/>
              <w:rPr>
                <w:sz w:val="24"/>
              </w:rPr>
            </w:pPr>
            <w:r>
              <w:rPr>
                <w:sz w:val="24"/>
              </w:rPr>
              <w:t>2% de los alumnos</w:t>
            </w:r>
          </w:p>
        </w:tc>
        <w:tc>
          <w:tcPr>
            <w:tcW w:w="2519" w:type="dxa"/>
            <w:vMerge/>
            <w:tcBorders>
              <w:top w:val="nil"/>
            </w:tcBorders>
          </w:tcPr>
          <w:p>
            <w:pPr>
              <w:rPr>
                <w:sz w:val="2"/>
                <w:szCs w:val="2"/>
              </w:rPr>
            </w:pPr>
          </w:p>
        </w:tc>
        <w:tc>
          <w:tcPr>
            <w:tcW w:w="2518" w:type="dxa"/>
            <w:vMerge/>
            <w:tcBorders>
              <w:top w:val="nil"/>
            </w:tcBorders>
          </w:tcPr>
          <w:p>
            <w:pPr>
              <w:rPr>
                <w:sz w:val="2"/>
                <w:szCs w:val="2"/>
              </w:rPr>
            </w:pPr>
          </w:p>
        </w:tc>
        <w:tc>
          <w:tcPr>
            <w:tcW w:w="2518" w:type="dxa"/>
            <w:vMerge/>
            <w:tcBorders>
              <w:top w:val="nil"/>
            </w:tcBorders>
          </w:tcPr>
          <w:p>
            <w:pPr>
              <w:rPr>
                <w:sz w:val="2"/>
                <w:szCs w:val="2"/>
              </w:rPr>
            </w:pPr>
          </w:p>
        </w:tc>
        <w:tc>
          <w:tcPr>
            <w:tcW w:w="2519" w:type="dxa"/>
            <w:tcBorders>
              <w:top w:val="nil"/>
              <w:bottom w:val="nil"/>
            </w:tcBorders>
          </w:tcPr>
          <w:p>
            <w:pPr>
              <w:pStyle w:val="TableParagraph"/>
              <w:spacing w:line="246" w:lineRule="exact"/>
              <w:ind w:left="57"/>
              <w:rPr>
                <w:sz w:val="24"/>
              </w:rPr>
            </w:pPr>
            <w:r>
              <w:rPr>
                <w:sz w:val="24"/>
              </w:rPr>
              <w:t>5% de los alumnos</w:t>
            </w:r>
          </w:p>
        </w:tc>
      </w:tr>
      <w:tr>
        <w:trPr>
          <w:trHeight w:val="265" w:hRule="atLeast"/>
        </w:trPr>
        <w:tc>
          <w:tcPr>
            <w:tcW w:w="2518" w:type="dxa"/>
            <w:tcBorders>
              <w:top w:val="nil"/>
              <w:bottom w:val="nil"/>
            </w:tcBorders>
          </w:tcPr>
          <w:p>
            <w:pPr>
              <w:pStyle w:val="TableParagraph"/>
              <w:spacing w:line="246" w:lineRule="exact"/>
              <w:ind w:left="58"/>
              <w:rPr>
                <w:sz w:val="24"/>
              </w:rPr>
            </w:pPr>
            <w:r>
              <w:rPr>
                <w:sz w:val="24"/>
              </w:rPr>
              <w:t>alumnos con</w:t>
            </w:r>
          </w:p>
        </w:tc>
        <w:tc>
          <w:tcPr>
            <w:tcW w:w="2518" w:type="dxa"/>
            <w:tcBorders>
              <w:top w:val="nil"/>
              <w:bottom w:val="nil"/>
            </w:tcBorders>
          </w:tcPr>
          <w:p>
            <w:pPr>
              <w:pStyle w:val="TableParagraph"/>
              <w:spacing w:line="246" w:lineRule="exact"/>
              <w:ind w:left="58"/>
              <w:rPr>
                <w:sz w:val="24"/>
              </w:rPr>
            </w:pPr>
            <w:r>
              <w:rPr>
                <w:sz w:val="24"/>
              </w:rPr>
              <w:t>con necesidades</w:t>
            </w:r>
          </w:p>
        </w:tc>
        <w:tc>
          <w:tcPr>
            <w:tcW w:w="2519" w:type="dxa"/>
            <w:vMerge/>
            <w:tcBorders>
              <w:top w:val="nil"/>
            </w:tcBorders>
          </w:tcPr>
          <w:p>
            <w:pPr>
              <w:rPr>
                <w:sz w:val="2"/>
                <w:szCs w:val="2"/>
              </w:rPr>
            </w:pPr>
          </w:p>
        </w:tc>
        <w:tc>
          <w:tcPr>
            <w:tcW w:w="2518" w:type="dxa"/>
            <w:vMerge/>
            <w:tcBorders>
              <w:top w:val="nil"/>
            </w:tcBorders>
          </w:tcPr>
          <w:p>
            <w:pPr>
              <w:rPr>
                <w:sz w:val="2"/>
                <w:szCs w:val="2"/>
              </w:rPr>
            </w:pPr>
          </w:p>
        </w:tc>
        <w:tc>
          <w:tcPr>
            <w:tcW w:w="2518" w:type="dxa"/>
            <w:vMerge/>
            <w:tcBorders>
              <w:top w:val="nil"/>
            </w:tcBorders>
          </w:tcPr>
          <w:p>
            <w:pPr>
              <w:rPr>
                <w:sz w:val="2"/>
                <w:szCs w:val="2"/>
              </w:rPr>
            </w:pPr>
          </w:p>
        </w:tc>
        <w:tc>
          <w:tcPr>
            <w:tcW w:w="2519" w:type="dxa"/>
            <w:tcBorders>
              <w:top w:val="nil"/>
              <w:bottom w:val="nil"/>
            </w:tcBorders>
          </w:tcPr>
          <w:p>
            <w:pPr>
              <w:pStyle w:val="TableParagraph"/>
              <w:spacing w:line="246" w:lineRule="exact"/>
              <w:ind w:left="57"/>
              <w:rPr>
                <w:sz w:val="24"/>
              </w:rPr>
            </w:pPr>
            <w:r>
              <w:rPr>
                <w:sz w:val="24"/>
              </w:rPr>
              <w:t>con necesidades</w:t>
            </w:r>
          </w:p>
        </w:tc>
      </w:tr>
      <w:tr>
        <w:trPr>
          <w:trHeight w:val="265" w:hRule="atLeast"/>
        </w:trPr>
        <w:tc>
          <w:tcPr>
            <w:tcW w:w="2518" w:type="dxa"/>
            <w:tcBorders>
              <w:top w:val="nil"/>
              <w:bottom w:val="nil"/>
            </w:tcBorders>
          </w:tcPr>
          <w:p>
            <w:pPr>
              <w:pStyle w:val="TableParagraph"/>
              <w:spacing w:line="246" w:lineRule="exact"/>
              <w:ind w:left="58"/>
              <w:rPr>
                <w:sz w:val="24"/>
              </w:rPr>
            </w:pPr>
            <w:r>
              <w:rPr>
                <w:sz w:val="24"/>
              </w:rPr>
              <w:t>necesidades</w:t>
            </w:r>
          </w:p>
        </w:tc>
        <w:tc>
          <w:tcPr>
            <w:tcW w:w="2518" w:type="dxa"/>
            <w:tcBorders>
              <w:top w:val="nil"/>
              <w:bottom w:val="nil"/>
            </w:tcBorders>
          </w:tcPr>
          <w:p>
            <w:pPr>
              <w:pStyle w:val="TableParagraph"/>
              <w:spacing w:line="246" w:lineRule="exact"/>
              <w:ind w:left="58"/>
              <w:rPr>
                <w:sz w:val="24"/>
              </w:rPr>
            </w:pPr>
            <w:r>
              <w:rPr>
                <w:sz w:val="24"/>
              </w:rPr>
              <w:t>especiales participan</w:t>
            </w:r>
          </w:p>
        </w:tc>
        <w:tc>
          <w:tcPr>
            <w:tcW w:w="2519" w:type="dxa"/>
            <w:vMerge/>
            <w:tcBorders>
              <w:top w:val="nil"/>
            </w:tcBorders>
          </w:tcPr>
          <w:p>
            <w:pPr>
              <w:rPr>
                <w:sz w:val="2"/>
                <w:szCs w:val="2"/>
              </w:rPr>
            </w:pPr>
          </w:p>
        </w:tc>
        <w:tc>
          <w:tcPr>
            <w:tcW w:w="2518" w:type="dxa"/>
            <w:vMerge/>
            <w:tcBorders>
              <w:top w:val="nil"/>
            </w:tcBorders>
          </w:tcPr>
          <w:p>
            <w:pPr>
              <w:rPr>
                <w:sz w:val="2"/>
                <w:szCs w:val="2"/>
              </w:rPr>
            </w:pPr>
          </w:p>
        </w:tc>
        <w:tc>
          <w:tcPr>
            <w:tcW w:w="2518" w:type="dxa"/>
            <w:vMerge/>
            <w:tcBorders>
              <w:top w:val="nil"/>
            </w:tcBorders>
          </w:tcPr>
          <w:p>
            <w:pPr>
              <w:rPr>
                <w:sz w:val="2"/>
                <w:szCs w:val="2"/>
              </w:rPr>
            </w:pPr>
          </w:p>
        </w:tc>
        <w:tc>
          <w:tcPr>
            <w:tcW w:w="2519" w:type="dxa"/>
            <w:tcBorders>
              <w:top w:val="nil"/>
              <w:bottom w:val="nil"/>
            </w:tcBorders>
          </w:tcPr>
          <w:p>
            <w:pPr>
              <w:pStyle w:val="TableParagraph"/>
              <w:spacing w:line="246" w:lineRule="exact"/>
              <w:ind w:left="57"/>
              <w:rPr>
                <w:sz w:val="24"/>
              </w:rPr>
            </w:pPr>
            <w:r>
              <w:rPr>
                <w:sz w:val="24"/>
              </w:rPr>
              <w:t>especiales participan</w:t>
            </w:r>
          </w:p>
        </w:tc>
      </w:tr>
      <w:tr>
        <w:trPr>
          <w:trHeight w:val="265" w:hRule="atLeast"/>
        </w:trPr>
        <w:tc>
          <w:tcPr>
            <w:tcW w:w="2518" w:type="dxa"/>
            <w:tcBorders>
              <w:top w:val="nil"/>
              <w:bottom w:val="nil"/>
            </w:tcBorders>
          </w:tcPr>
          <w:p>
            <w:pPr>
              <w:pStyle w:val="TableParagraph"/>
              <w:spacing w:line="246" w:lineRule="exact"/>
              <w:ind w:left="58"/>
              <w:rPr>
                <w:sz w:val="24"/>
              </w:rPr>
            </w:pPr>
            <w:r>
              <w:rPr>
                <w:sz w:val="24"/>
              </w:rPr>
              <w:t>especiales</w:t>
            </w:r>
          </w:p>
        </w:tc>
        <w:tc>
          <w:tcPr>
            <w:tcW w:w="2518" w:type="dxa"/>
            <w:tcBorders>
              <w:top w:val="nil"/>
              <w:bottom w:val="nil"/>
            </w:tcBorders>
          </w:tcPr>
          <w:p>
            <w:pPr>
              <w:pStyle w:val="TableParagraph"/>
              <w:spacing w:line="246" w:lineRule="exact"/>
              <w:ind w:left="58"/>
              <w:rPr>
                <w:sz w:val="24"/>
              </w:rPr>
            </w:pPr>
            <w:r>
              <w:rPr>
                <w:sz w:val="24"/>
              </w:rPr>
              <w:t>en la escuela de</w:t>
            </w:r>
          </w:p>
        </w:tc>
        <w:tc>
          <w:tcPr>
            <w:tcW w:w="2519" w:type="dxa"/>
            <w:vMerge/>
            <w:tcBorders>
              <w:top w:val="nil"/>
            </w:tcBorders>
          </w:tcPr>
          <w:p>
            <w:pPr>
              <w:rPr>
                <w:sz w:val="2"/>
                <w:szCs w:val="2"/>
              </w:rPr>
            </w:pPr>
          </w:p>
        </w:tc>
        <w:tc>
          <w:tcPr>
            <w:tcW w:w="2518" w:type="dxa"/>
            <w:vMerge/>
            <w:tcBorders>
              <w:top w:val="nil"/>
            </w:tcBorders>
          </w:tcPr>
          <w:p>
            <w:pPr>
              <w:rPr>
                <w:sz w:val="2"/>
                <w:szCs w:val="2"/>
              </w:rPr>
            </w:pPr>
          </w:p>
        </w:tc>
        <w:tc>
          <w:tcPr>
            <w:tcW w:w="2518" w:type="dxa"/>
            <w:vMerge/>
            <w:tcBorders>
              <w:top w:val="nil"/>
            </w:tcBorders>
          </w:tcPr>
          <w:p>
            <w:pPr>
              <w:rPr>
                <w:sz w:val="2"/>
                <w:szCs w:val="2"/>
              </w:rPr>
            </w:pPr>
          </w:p>
        </w:tc>
        <w:tc>
          <w:tcPr>
            <w:tcW w:w="2519" w:type="dxa"/>
            <w:tcBorders>
              <w:top w:val="nil"/>
              <w:bottom w:val="nil"/>
            </w:tcBorders>
          </w:tcPr>
          <w:p>
            <w:pPr>
              <w:pStyle w:val="TableParagraph"/>
              <w:spacing w:line="246" w:lineRule="exact"/>
              <w:ind w:left="57"/>
              <w:rPr>
                <w:sz w:val="24"/>
              </w:rPr>
            </w:pPr>
            <w:r>
              <w:rPr>
                <w:sz w:val="24"/>
              </w:rPr>
              <w:t>en la escuela de</w:t>
            </w:r>
          </w:p>
        </w:tc>
      </w:tr>
      <w:tr>
        <w:trPr>
          <w:trHeight w:val="265" w:hRule="atLeast"/>
        </w:trPr>
        <w:tc>
          <w:tcPr>
            <w:tcW w:w="2518" w:type="dxa"/>
            <w:tcBorders>
              <w:top w:val="nil"/>
              <w:bottom w:val="nil"/>
            </w:tcBorders>
          </w:tcPr>
          <w:p>
            <w:pPr>
              <w:pStyle w:val="TableParagraph"/>
              <w:spacing w:line="246" w:lineRule="exact"/>
              <w:ind w:left="58"/>
              <w:rPr>
                <w:sz w:val="24"/>
              </w:rPr>
            </w:pPr>
            <w:r>
              <w:rPr>
                <w:sz w:val="24"/>
              </w:rPr>
              <w:t>Fuente: Sistema de</w:t>
            </w:r>
          </w:p>
        </w:tc>
        <w:tc>
          <w:tcPr>
            <w:tcW w:w="2518" w:type="dxa"/>
            <w:tcBorders>
              <w:top w:val="nil"/>
              <w:bottom w:val="nil"/>
            </w:tcBorders>
          </w:tcPr>
          <w:p>
            <w:pPr>
              <w:pStyle w:val="TableParagraph"/>
              <w:spacing w:line="246" w:lineRule="exact"/>
              <w:ind w:left="58"/>
              <w:rPr>
                <w:sz w:val="24"/>
              </w:rPr>
            </w:pPr>
            <w:r>
              <w:rPr>
                <w:sz w:val="24"/>
              </w:rPr>
              <w:t>verano o en la</w:t>
            </w:r>
          </w:p>
        </w:tc>
        <w:tc>
          <w:tcPr>
            <w:tcW w:w="2519" w:type="dxa"/>
            <w:vMerge/>
            <w:tcBorders>
              <w:top w:val="nil"/>
            </w:tcBorders>
          </w:tcPr>
          <w:p>
            <w:pPr>
              <w:rPr>
                <w:sz w:val="2"/>
                <w:szCs w:val="2"/>
              </w:rPr>
            </w:pPr>
          </w:p>
        </w:tc>
        <w:tc>
          <w:tcPr>
            <w:tcW w:w="2518" w:type="dxa"/>
            <w:vMerge/>
            <w:tcBorders>
              <w:top w:val="nil"/>
            </w:tcBorders>
          </w:tcPr>
          <w:p>
            <w:pPr>
              <w:rPr>
                <w:sz w:val="2"/>
                <w:szCs w:val="2"/>
              </w:rPr>
            </w:pPr>
          </w:p>
        </w:tc>
        <w:tc>
          <w:tcPr>
            <w:tcW w:w="2518" w:type="dxa"/>
            <w:vMerge/>
            <w:tcBorders>
              <w:top w:val="nil"/>
            </w:tcBorders>
          </w:tcPr>
          <w:p>
            <w:pPr>
              <w:rPr>
                <w:sz w:val="2"/>
                <w:szCs w:val="2"/>
              </w:rPr>
            </w:pPr>
          </w:p>
        </w:tc>
        <w:tc>
          <w:tcPr>
            <w:tcW w:w="2519" w:type="dxa"/>
            <w:tcBorders>
              <w:top w:val="nil"/>
              <w:bottom w:val="nil"/>
            </w:tcBorders>
          </w:tcPr>
          <w:p>
            <w:pPr>
              <w:pStyle w:val="TableParagraph"/>
              <w:spacing w:line="246" w:lineRule="exact"/>
              <w:ind w:left="57"/>
              <w:rPr>
                <w:sz w:val="24"/>
              </w:rPr>
            </w:pPr>
            <w:r>
              <w:rPr>
                <w:sz w:val="24"/>
              </w:rPr>
              <w:t>verano o en la</w:t>
            </w:r>
          </w:p>
        </w:tc>
      </w:tr>
      <w:tr>
        <w:trPr>
          <w:trHeight w:val="265" w:hRule="atLeast"/>
        </w:trPr>
        <w:tc>
          <w:tcPr>
            <w:tcW w:w="2518" w:type="dxa"/>
            <w:tcBorders>
              <w:top w:val="nil"/>
              <w:bottom w:val="nil"/>
            </w:tcBorders>
          </w:tcPr>
          <w:p>
            <w:pPr>
              <w:pStyle w:val="TableParagraph"/>
              <w:spacing w:line="246" w:lineRule="exact"/>
              <w:ind w:left="58"/>
              <w:rPr>
                <w:sz w:val="24"/>
              </w:rPr>
            </w:pPr>
            <w:r>
              <w:rPr>
                <w:sz w:val="24"/>
              </w:rPr>
              <w:t>seguimiento de datos</w:t>
            </w:r>
          </w:p>
        </w:tc>
        <w:tc>
          <w:tcPr>
            <w:tcW w:w="2518" w:type="dxa"/>
            <w:tcBorders>
              <w:top w:val="nil"/>
              <w:bottom w:val="nil"/>
            </w:tcBorders>
          </w:tcPr>
          <w:p>
            <w:pPr>
              <w:pStyle w:val="TableParagraph"/>
              <w:spacing w:line="246" w:lineRule="exact"/>
              <w:ind w:left="58"/>
              <w:rPr>
                <w:sz w:val="24"/>
              </w:rPr>
            </w:pPr>
            <w:r>
              <w:rPr>
                <w:sz w:val="24"/>
              </w:rPr>
              <w:t>instrucción adicional</w:t>
            </w:r>
          </w:p>
        </w:tc>
        <w:tc>
          <w:tcPr>
            <w:tcW w:w="2519" w:type="dxa"/>
            <w:vMerge/>
            <w:tcBorders>
              <w:top w:val="nil"/>
            </w:tcBorders>
          </w:tcPr>
          <w:p>
            <w:pPr>
              <w:rPr>
                <w:sz w:val="2"/>
                <w:szCs w:val="2"/>
              </w:rPr>
            </w:pPr>
          </w:p>
        </w:tc>
        <w:tc>
          <w:tcPr>
            <w:tcW w:w="2518" w:type="dxa"/>
            <w:vMerge/>
            <w:tcBorders>
              <w:top w:val="nil"/>
            </w:tcBorders>
          </w:tcPr>
          <w:p>
            <w:pPr>
              <w:rPr>
                <w:sz w:val="2"/>
                <w:szCs w:val="2"/>
              </w:rPr>
            </w:pPr>
          </w:p>
        </w:tc>
        <w:tc>
          <w:tcPr>
            <w:tcW w:w="2518" w:type="dxa"/>
            <w:vMerge/>
            <w:tcBorders>
              <w:top w:val="nil"/>
            </w:tcBorders>
          </w:tcPr>
          <w:p>
            <w:pPr>
              <w:rPr>
                <w:sz w:val="2"/>
                <w:szCs w:val="2"/>
              </w:rPr>
            </w:pPr>
          </w:p>
        </w:tc>
        <w:tc>
          <w:tcPr>
            <w:tcW w:w="2519" w:type="dxa"/>
            <w:tcBorders>
              <w:top w:val="nil"/>
              <w:bottom w:val="nil"/>
            </w:tcBorders>
          </w:tcPr>
          <w:p>
            <w:pPr>
              <w:pStyle w:val="TableParagraph"/>
              <w:spacing w:line="246" w:lineRule="exact"/>
              <w:ind w:left="57"/>
              <w:rPr>
                <w:sz w:val="24"/>
              </w:rPr>
            </w:pPr>
            <w:r>
              <w:rPr>
                <w:sz w:val="24"/>
              </w:rPr>
              <w:t>instrucción adicional</w:t>
            </w:r>
          </w:p>
        </w:tc>
      </w:tr>
      <w:tr>
        <w:trPr>
          <w:trHeight w:val="265" w:hRule="atLeast"/>
        </w:trPr>
        <w:tc>
          <w:tcPr>
            <w:tcW w:w="2518" w:type="dxa"/>
            <w:tcBorders>
              <w:top w:val="nil"/>
              <w:bottom w:val="nil"/>
            </w:tcBorders>
          </w:tcPr>
          <w:p>
            <w:pPr>
              <w:pStyle w:val="TableParagraph"/>
              <w:spacing w:line="246" w:lineRule="exact"/>
              <w:ind w:left="58"/>
              <w:rPr>
                <w:sz w:val="24"/>
              </w:rPr>
            </w:pPr>
            <w:r>
              <w:rPr>
                <w:sz w:val="24"/>
              </w:rPr>
              <w:t>del Sistema de Apoyo</w:t>
            </w:r>
          </w:p>
        </w:tc>
        <w:tc>
          <w:tcPr>
            <w:tcW w:w="2518" w:type="dxa"/>
            <w:tcBorders>
              <w:top w:val="nil"/>
              <w:bottom w:val="nil"/>
            </w:tcBorders>
          </w:tcPr>
          <w:p>
            <w:pPr>
              <w:pStyle w:val="TableParagraph"/>
              <w:spacing w:line="246" w:lineRule="exact"/>
              <w:ind w:left="58"/>
              <w:rPr>
                <w:sz w:val="24"/>
              </w:rPr>
            </w:pPr>
            <w:r>
              <w:rPr>
                <w:sz w:val="24"/>
              </w:rPr>
              <w:t>extracurricular</w:t>
            </w:r>
          </w:p>
        </w:tc>
        <w:tc>
          <w:tcPr>
            <w:tcW w:w="2519" w:type="dxa"/>
            <w:vMerge/>
            <w:tcBorders>
              <w:top w:val="nil"/>
            </w:tcBorders>
          </w:tcPr>
          <w:p>
            <w:pPr>
              <w:rPr>
                <w:sz w:val="2"/>
                <w:szCs w:val="2"/>
              </w:rPr>
            </w:pPr>
          </w:p>
        </w:tc>
        <w:tc>
          <w:tcPr>
            <w:tcW w:w="2518" w:type="dxa"/>
            <w:vMerge/>
            <w:tcBorders>
              <w:top w:val="nil"/>
            </w:tcBorders>
          </w:tcPr>
          <w:p>
            <w:pPr>
              <w:rPr>
                <w:sz w:val="2"/>
                <w:szCs w:val="2"/>
              </w:rPr>
            </w:pPr>
          </w:p>
        </w:tc>
        <w:tc>
          <w:tcPr>
            <w:tcW w:w="2518" w:type="dxa"/>
            <w:vMerge/>
            <w:tcBorders>
              <w:top w:val="nil"/>
            </w:tcBorders>
          </w:tcPr>
          <w:p>
            <w:pPr>
              <w:rPr>
                <w:sz w:val="2"/>
                <w:szCs w:val="2"/>
              </w:rPr>
            </w:pPr>
          </w:p>
        </w:tc>
        <w:tc>
          <w:tcPr>
            <w:tcW w:w="2519" w:type="dxa"/>
            <w:tcBorders>
              <w:top w:val="nil"/>
              <w:bottom w:val="nil"/>
            </w:tcBorders>
          </w:tcPr>
          <w:p>
            <w:pPr>
              <w:pStyle w:val="TableParagraph"/>
              <w:spacing w:line="246" w:lineRule="exact"/>
              <w:ind w:left="57"/>
              <w:rPr>
                <w:sz w:val="24"/>
              </w:rPr>
            </w:pPr>
            <w:r>
              <w:rPr>
                <w:sz w:val="24"/>
              </w:rPr>
              <w:t>extracurricular</w:t>
            </w:r>
          </w:p>
        </w:tc>
      </w:tr>
      <w:tr>
        <w:trPr>
          <w:trHeight w:val="265" w:hRule="atLeast"/>
        </w:trPr>
        <w:tc>
          <w:tcPr>
            <w:tcW w:w="2518" w:type="dxa"/>
            <w:tcBorders>
              <w:top w:val="nil"/>
              <w:bottom w:val="nil"/>
            </w:tcBorders>
          </w:tcPr>
          <w:p>
            <w:pPr>
              <w:pStyle w:val="TableParagraph"/>
              <w:spacing w:line="246" w:lineRule="exact"/>
              <w:ind w:left="58"/>
              <w:rPr>
                <w:sz w:val="24"/>
              </w:rPr>
            </w:pPr>
            <w:r>
              <w:rPr>
                <w:sz w:val="24"/>
              </w:rPr>
              <w:t>de Múltiples Niveles</w:t>
            </w:r>
          </w:p>
        </w:tc>
        <w:tc>
          <w:tcPr>
            <w:tcW w:w="2518" w:type="dxa"/>
            <w:tcBorders>
              <w:top w:val="nil"/>
              <w:bottom w:val="nil"/>
            </w:tcBorders>
          </w:tcPr>
          <w:p>
            <w:pPr>
              <w:pStyle w:val="TableParagraph"/>
              <w:rPr>
                <w:rFonts w:ascii="Times New Roman"/>
                <w:sz w:val="18"/>
              </w:rPr>
            </w:pPr>
          </w:p>
        </w:tc>
        <w:tc>
          <w:tcPr>
            <w:tcW w:w="2519" w:type="dxa"/>
            <w:vMerge/>
            <w:tcBorders>
              <w:top w:val="nil"/>
            </w:tcBorders>
          </w:tcPr>
          <w:p>
            <w:pPr>
              <w:rPr>
                <w:sz w:val="2"/>
                <w:szCs w:val="2"/>
              </w:rPr>
            </w:pPr>
          </w:p>
        </w:tc>
        <w:tc>
          <w:tcPr>
            <w:tcW w:w="2518" w:type="dxa"/>
            <w:vMerge/>
            <w:tcBorders>
              <w:top w:val="nil"/>
            </w:tcBorders>
          </w:tcPr>
          <w:p>
            <w:pPr>
              <w:rPr>
                <w:sz w:val="2"/>
                <w:szCs w:val="2"/>
              </w:rPr>
            </w:pPr>
          </w:p>
        </w:tc>
        <w:tc>
          <w:tcPr>
            <w:tcW w:w="2518" w:type="dxa"/>
            <w:vMerge/>
            <w:tcBorders>
              <w:top w:val="nil"/>
            </w:tcBorders>
          </w:tcPr>
          <w:p>
            <w:pPr>
              <w:rPr>
                <w:sz w:val="2"/>
                <w:szCs w:val="2"/>
              </w:rPr>
            </w:pPr>
          </w:p>
        </w:tc>
        <w:tc>
          <w:tcPr>
            <w:tcW w:w="2519" w:type="dxa"/>
            <w:tcBorders>
              <w:top w:val="nil"/>
              <w:bottom w:val="nil"/>
            </w:tcBorders>
          </w:tcPr>
          <w:p>
            <w:pPr>
              <w:pStyle w:val="TableParagraph"/>
              <w:rPr>
                <w:rFonts w:ascii="Times New Roman"/>
                <w:sz w:val="18"/>
              </w:rPr>
            </w:pPr>
          </w:p>
        </w:tc>
      </w:tr>
      <w:tr>
        <w:trPr>
          <w:trHeight w:val="265" w:hRule="atLeast"/>
        </w:trPr>
        <w:tc>
          <w:tcPr>
            <w:tcW w:w="2518" w:type="dxa"/>
            <w:tcBorders>
              <w:top w:val="nil"/>
              <w:bottom w:val="nil"/>
            </w:tcBorders>
          </w:tcPr>
          <w:p>
            <w:pPr>
              <w:pStyle w:val="TableParagraph"/>
              <w:spacing w:line="246" w:lineRule="exact"/>
              <w:ind w:left="58"/>
              <w:rPr>
                <w:sz w:val="24"/>
              </w:rPr>
            </w:pPr>
            <w:r>
              <w:rPr>
                <w:sz w:val="24"/>
              </w:rPr>
              <w:t>(MTSS, por sus siglas</w:t>
            </w:r>
          </w:p>
        </w:tc>
        <w:tc>
          <w:tcPr>
            <w:tcW w:w="2518" w:type="dxa"/>
            <w:tcBorders>
              <w:top w:val="nil"/>
              <w:bottom w:val="nil"/>
            </w:tcBorders>
          </w:tcPr>
          <w:p>
            <w:pPr>
              <w:pStyle w:val="TableParagraph"/>
              <w:rPr>
                <w:rFonts w:ascii="Times New Roman"/>
                <w:sz w:val="18"/>
              </w:rPr>
            </w:pPr>
          </w:p>
        </w:tc>
        <w:tc>
          <w:tcPr>
            <w:tcW w:w="2519" w:type="dxa"/>
            <w:vMerge/>
            <w:tcBorders>
              <w:top w:val="nil"/>
            </w:tcBorders>
          </w:tcPr>
          <w:p>
            <w:pPr>
              <w:rPr>
                <w:sz w:val="2"/>
                <w:szCs w:val="2"/>
              </w:rPr>
            </w:pPr>
          </w:p>
        </w:tc>
        <w:tc>
          <w:tcPr>
            <w:tcW w:w="2518" w:type="dxa"/>
            <w:vMerge/>
            <w:tcBorders>
              <w:top w:val="nil"/>
            </w:tcBorders>
          </w:tcPr>
          <w:p>
            <w:pPr>
              <w:rPr>
                <w:sz w:val="2"/>
                <w:szCs w:val="2"/>
              </w:rPr>
            </w:pPr>
          </w:p>
        </w:tc>
        <w:tc>
          <w:tcPr>
            <w:tcW w:w="2518" w:type="dxa"/>
            <w:vMerge/>
            <w:tcBorders>
              <w:top w:val="nil"/>
            </w:tcBorders>
          </w:tcPr>
          <w:p>
            <w:pPr>
              <w:rPr>
                <w:sz w:val="2"/>
                <w:szCs w:val="2"/>
              </w:rPr>
            </w:pPr>
          </w:p>
        </w:tc>
        <w:tc>
          <w:tcPr>
            <w:tcW w:w="2519" w:type="dxa"/>
            <w:tcBorders>
              <w:top w:val="nil"/>
              <w:bottom w:val="nil"/>
            </w:tcBorders>
          </w:tcPr>
          <w:p>
            <w:pPr>
              <w:pStyle w:val="TableParagraph"/>
              <w:rPr>
                <w:rFonts w:ascii="Times New Roman"/>
                <w:sz w:val="18"/>
              </w:rPr>
            </w:pPr>
          </w:p>
        </w:tc>
      </w:tr>
      <w:tr>
        <w:trPr>
          <w:trHeight w:val="601" w:hRule="atLeast"/>
        </w:trPr>
        <w:tc>
          <w:tcPr>
            <w:tcW w:w="2518" w:type="dxa"/>
            <w:tcBorders>
              <w:top w:val="nil"/>
            </w:tcBorders>
          </w:tcPr>
          <w:p>
            <w:pPr>
              <w:pStyle w:val="TableParagraph"/>
              <w:spacing w:line="263" w:lineRule="exact"/>
              <w:ind w:left="58"/>
              <w:rPr>
                <w:sz w:val="24"/>
              </w:rPr>
            </w:pPr>
            <w:r>
              <w:rPr>
                <w:sz w:val="24"/>
              </w:rPr>
              <w:t>en inglés)</w:t>
            </w:r>
          </w:p>
        </w:tc>
        <w:tc>
          <w:tcPr>
            <w:tcW w:w="2518" w:type="dxa"/>
            <w:tcBorders>
              <w:top w:val="nil"/>
            </w:tcBorders>
          </w:tcPr>
          <w:p>
            <w:pPr>
              <w:pStyle w:val="TableParagraph"/>
              <w:rPr>
                <w:rFonts w:ascii="Times New Roman"/>
                <w:sz w:val="22"/>
              </w:rPr>
            </w:pPr>
          </w:p>
        </w:tc>
        <w:tc>
          <w:tcPr>
            <w:tcW w:w="2519" w:type="dxa"/>
            <w:vMerge/>
            <w:tcBorders>
              <w:top w:val="nil"/>
            </w:tcBorders>
          </w:tcPr>
          <w:p>
            <w:pPr>
              <w:rPr>
                <w:sz w:val="2"/>
                <w:szCs w:val="2"/>
              </w:rPr>
            </w:pPr>
          </w:p>
        </w:tc>
        <w:tc>
          <w:tcPr>
            <w:tcW w:w="2518" w:type="dxa"/>
            <w:vMerge/>
            <w:tcBorders>
              <w:top w:val="nil"/>
            </w:tcBorders>
          </w:tcPr>
          <w:p>
            <w:pPr>
              <w:rPr>
                <w:sz w:val="2"/>
                <w:szCs w:val="2"/>
              </w:rPr>
            </w:pPr>
          </w:p>
        </w:tc>
        <w:tc>
          <w:tcPr>
            <w:tcW w:w="2518" w:type="dxa"/>
            <w:vMerge/>
            <w:tcBorders>
              <w:top w:val="nil"/>
            </w:tcBorders>
          </w:tcPr>
          <w:p>
            <w:pPr>
              <w:rPr>
                <w:sz w:val="2"/>
                <w:szCs w:val="2"/>
              </w:rPr>
            </w:pPr>
          </w:p>
        </w:tc>
        <w:tc>
          <w:tcPr>
            <w:tcW w:w="2519" w:type="dxa"/>
            <w:tcBorders>
              <w:top w:val="nil"/>
            </w:tcBorders>
          </w:tcPr>
          <w:p>
            <w:pPr>
              <w:pStyle w:val="TableParagraph"/>
              <w:rPr>
                <w:rFonts w:ascii="Times New Roman"/>
                <w:sz w:val="22"/>
              </w:rPr>
            </w:pPr>
          </w:p>
        </w:tc>
      </w:tr>
    </w:tbl>
    <w:p>
      <w:pPr>
        <w:pStyle w:val="BodyText"/>
        <w:spacing w:before="11"/>
        <w:rPr>
          <w:b/>
          <w:sz w:val="7"/>
        </w:rPr>
      </w:pPr>
    </w:p>
    <w:p>
      <w:pPr>
        <w:spacing w:before="88"/>
        <w:ind w:left="240" w:right="0" w:firstLine="0"/>
        <w:jc w:val="left"/>
        <w:rPr>
          <w:b/>
          <w:sz w:val="36"/>
        </w:rPr>
      </w:pPr>
      <w:bookmarkStart w:name="Acciones" w:id="15"/>
      <w:bookmarkEnd w:id="15"/>
      <w:r>
        <w:rPr/>
      </w:r>
      <w:hyperlink r:id="rId22">
        <w:r>
          <w:rPr>
            <w:b/>
            <w:sz w:val="36"/>
          </w:rPr>
          <w:t>Acciones</w:t>
        </w:r>
      </w:hyperlink>
    </w:p>
    <w:p>
      <w:pPr>
        <w:pStyle w:val="BodyText"/>
        <w:rPr>
          <w:b/>
        </w:rPr>
      </w:pPr>
    </w:p>
    <w:tbl>
      <w:tblPr>
        <w:tblW w:w="0" w:type="auto"/>
        <w:jc w:val="left"/>
        <w:tblInd w:w="250" w:type="dxa"/>
        <w:tblBorders>
          <w:top w:val="single" w:sz="4" w:space="0" w:color="8496B0"/>
          <w:left w:val="single" w:sz="4" w:space="0" w:color="8496B0"/>
          <w:bottom w:val="single" w:sz="4" w:space="0" w:color="8496B0"/>
          <w:right w:val="single" w:sz="4" w:space="0" w:color="8496B0"/>
          <w:insideH w:val="single" w:sz="4" w:space="0" w:color="8496B0"/>
          <w:insideV w:val="single" w:sz="4" w:space="0" w:color="8496B0"/>
        </w:tblBorders>
        <w:tblLayout w:type="fixed"/>
        <w:tblCellMar>
          <w:top w:w="0" w:type="dxa"/>
          <w:left w:w="0" w:type="dxa"/>
          <w:bottom w:w="0" w:type="dxa"/>
          <w:right w:w="0" w:type="dxa"/>
        </w:tblCellMar>
        <w:tblLook w:val="01E0"/>
      </w:tblPr>
      <w:tblGrid>
        <w:gridCol w:w="1269"/>
        <w:gridCol w:w="2440"/>
        <w:gridCol w:w="7626"/>
        <w:gridCol w:w="2156"/>
        <w:gridCol w:w="1619"/>
      </w:tblGrid>
      <w:tr>
        <w:trPr>
          <w:trHeight w:val="609" w:hRule="atLeast"/>
        </w:trPr>
        <w:tc>
          <w:tcPr>
            <w:tcW w:w="1269" w:type="dxa"/>
            <w:shd w:val="clear" w:color="auto" w:fill="DBE5F1"/>
          </w:tcPr>
          <w:p>
            <w:pPr>
              <w:pStyle w:val="TableParagraph"/>
              <w:spacing w:before="58"/>
              <w:ind w:left="58"/>
              <w:rPr>
                <w:sz w:val="24"/>
              </w:rPr>
            </w:pPr>
            <w:r>
              <w:rPr>
                <w:sz w:val="24"/>
              </w:rPr>
              <w:t>Acción #</w:t>
            </w:r>
          </w:p>
        </w:tc>
        <w:tc>
          <w:tcPr>
            <w:tcW w:w="2440" w:type="dxa"/>
            <w:shd w:val="clear" w:color="auto" w:fill="DBE5F1"/>
          </w:tcPr>
          <w:p>
            <w:pPr>
              <w:pStyle w:val="TableParagraph"/>
              <w:spacing w:before="58"/>
              <w:ind w:left="58"/>
              <w:rPr>
                <w:sz w:val="24"/>
              </w:rPr>
            </w:pPr>
            <w:r>
              <w:rPr>
                <w:sz w:val="24"/>
              </w:rPr>
              <w:t>Título</w:t>
            </w:r>
          </w:p>
        </w:tc>
        <w:tc>
          <w:tcPr>
            <w:tcW w:w="7626" w:type="dxa"/>
            <w:shd w:val="clear" w:color="auto" w:fill="DBE5F1"/>
          </w:tcPr>
          <w:p>
            <w:pPr>
              <w:pStyle w:val="TableParagraph"/>
              <w:spacing w:before="58"/>
              <w:ind w:left="57"/>
              <w:rPr>
                <w:sz w:val="24"/>
              </w:rPr>
            </w:pPr>
            <w:r>
              <w:rPr>
                <w:sz w:val="24"/>
              </w:rPr>
              <w:t>Descripción</w:t>
            </w:r>
          </w:p>
        </w:tc>
        <w:tc>
          <w:tcPr>
            <w:tcW w:w="2156" w:type="dxa"/>
            <w:shd w:val="clear" w:color="auto" w:fill="DBE5F1"/>
          </w:tcPr>
          <w:p>
            <w:pPr>
              <w:pStyle w:val="TableParagraph"/>
              <w:spacing w:before="58"/>
              <w:ind w:left="210"/>
              <w:rPr>
                <w:sz w:val="24"/>
              </w:rPr>
            </w:pPr>
            <w:r>
              <w:rPr>
                <w:sz w:val="24"/>
              </w:rPr>
              <w:t>Total de Fondos</w:t>
            </w:r>
          </w:p>
        </w:tc>
        <w:tc>
          <w:tcPr>
            <w:tcW w:w="1619" w:type="dxa"/>
            <w:shd w:val="clear" w:color="auto" w:fill="DBE5F1"/>
          </w:tcPr>
          <w:p>
            <w:pPr>
              <w:pStyle w:val="TableParagraph"/>
              <w:spacing w:line="270" w:lineRule="atLeast" w:before="58"/>
              <w:ind w:left="742" w:right="67" w:hanging="648"/>
              <w:rPr>
                <w:sz w:val="24"/>
              </w:rPr>
            </w:pPr>
            <w:r>
              <w:rPr>
                <w:sz w:val="24"/>
              </w:rPr>
              <w:t>Contribuyend o</w:t>
            </w:r>
          </w:p>
        </w:tc>
      </w:tr>
      <w:tr>
        <w:trPr>
          <w:trHeight w:val="332" w:hRule="atLeast"/>
        </w:trPr>
        <w:tc>
          <w:tcPr>
            <w:tcW w:w="1269" w:type="dxa"/>
            <w:tcBorders>
              <w:bottom w:val="nil"/>
            </w:tcBorders>
          </w:tcPr>
          <w:p>
            <w:pPr>
              <w:pStyle w:val="TableParagraph"/>
              <w:spacing w:line="255" w:lineRule="exact" w:before="58"/>
              <w:ind w:left="9"/>
              <w:jc w:val="center"/>
              <w:rPr>
                <w:b/>
                <w:sz w:val="24"/>
              </w:rPr>
            </w:pPr>
            <w:r>
              <w:rPr>
                <w:b/>
                <w:sz w:val="24"/>
              </w:rPr>
              <w:t>1</w:t>
            </w:r>
          </w:p>
        </w:tc>
        <w:tc>
          <w:tcPr>
            <w:tcW w:w="2440" w:type="dxa"/>
            <w:tcBorders>
              <w:bottom w:val="nil"/>
            </w:tcBorders>
          </w:tcPr>
          <w:p>
            <w:pPr>
              <w:pStyle w:val="TableParagraph"/>
              <w:spacing w:line="255" w:lineRule="exact" w:before="58"/>
              <w:ind w:left="58"/>
              <w:rPr>
                <w:sz w:val="24"/>
              </w:rPr>
            </w:pPr>
            <w:r>
              <w:rPr>
                <w:sz w:val="24"/>
              </w:rPr>
              <w:t>1 Director de</w:t>
            </w:r>
          </w:p>
        </w:tc>
        <w:tc>
          <w:tcPr>
            <w:tcW w:w="7626" w:type="dxa"/>
            <w:tcBorders>
              <w:bottom w:val="nil"/>
            </w:tcBorders>
          </w:tcPr>
          <w:p>
            <w:pPr>
              <w:pStyle w:val="TableParagraph"/>
              <w:spacing w:line="255" w:lineRule="exact" w:before="58"/>
              <w:ind w:left="57"/>
              <w:rPr>
                <w:sz w:val="24"/>
              </w:rPr>
            </w:pPr>
            <w:r>
              <w:rPr>
                <w:sz w:val="24"/>
              </w:rPr>
              <w:t>El Director de Currículo e Instrucción, el Superintendente y el</w:t>
            </w:r>
          </w:p>
        </w:tc>
        <w:tc>
          <w:tcPr>
            <w:tcW w:w="2156" w:type="dxa"/>
            <w:vMerge w:val="restart"/>
          </w:tcPr>
          <w:p>
            <w:pPr>
              <w:pStyle w:val="TableParagraph"/>
              <w:rPr>
                <w:rFonts w:ascii="Times New Roman"/>
                <w:sz w:val="22"/>
              </w:rPr>
            </w:pPr>
          </w:p>
        </w:tc>
        <w:tc>
          <w:tcPr>
            <w:tcW w:w="1619" w:type="dxa"/>
            <w:vMerge w:val="restart"/>
          </w:tcPr>
          <w:p>
            <w:pPr>
              <w:pStyle w:val="TableParagraph"/>
              <w:rPr>
                <w:rFonts w:ascii="Times New Roman"/>
                <w:sz w:val="22"/>
              </w:rPr>
            </w:pPr>
          </w:p>
        </w:tc>
      </w:tr>
      <w:tr>
        <w:trPr>
          <w:trHeight w:val="265" w:hRule="atLeast"/>
        </w:trPr>
        <w:tc>
          <w:tcPr>
            <w:tcW w:w="1269" w:type="dxa"/>
            <w:tcBorders>
              <w:top w:val="nil"/>
              <w:bottom w:val="nil"/>
            </w:tcBorders>
          </w:tcPr>
          <w:p>
            <w:pPr>
              <w:pStyle w:val="TableParagraph"/>
              <w:rPr>
                <w:rFonts w:ascii="Times New Roman"/>
                <w:sz w:val="18"/>
              </w:rPr>
            </w:pPr>
          </w:p>
        </w:tc>
        <w:tc>
          <w:tcPr>
            <w:tcW w:w="2440" w:type="dxa"/>
            <w:tcBorders>
              <w:top w:val="nil"/>
              <w:bottom w:val="nil"/>
            </w:tcBorders>
          </w:tcPr>
          <w:p>
            <w:pPr>
              <w:pStyle w:val="TableParagraph"/>
              <w:spacing w:line="246" w:lineRule="exact"/>
              <w:ind w:left="58"/>
              <w:rPr>
                <w:sz w:val="24"/>
              </w:rPr>
            </w:pPr>
            <w:r>
              <w:rPr>
                <w:sz w:val="24"/>
              </w:rPr>
              <w:t>currículo e</w:t>
            </w:r>
          </w:p>
        </w:tc>
        <w:tc>
          <w:tcPr>
            <w:tcW w:w="7626" w:type="dxa"/>
            <w:tcBorders>
              <w:top w:val="nil"/>
              <w:bottom w:val="nil"/>
            </w:tcBorders>
          </w:tcPr>
          <w:p>
            <w:pPr>
              <w:pStyle w:val="TableParagraph"/>
              <w:spacing w:line="246" w:lineRule="exact"/>
              <w:ind w:left="57"/>
              <w:rPr>
                <w:sz w:val="24"/>
              </w:rPr>
            </w:pPr>
            <w:r>
              <w:rPr>
                <w:sz w:val="24"/>
              </w:rPr>
              <w:t>Superintendente de Escuelas del Condado de Sutter (SCSOS, por</w:t>
            </w:r>
          </w:p>
        </w:tc>
        <w:tc>
          <w:tcPr>
            <w:tcW w:w="2156" w:type="dxa"/>
            <w:vMerge/>
            <w:tcBorders>
              <w:top w:val="nil"/>
            </w:tcBorders>
          </w:tcPr>
          <w:p>
            <w:pPr>
              <w:rPr>
                <w:sz w:val="2"/>
                <w:szCs w:val="2"/>
              </w:rPr>
            </w:pPr>
          </w:p>
        </w:tc>
        <w:tc>
          <w:tcPr>
            <w:tcW w:w="1619" w:type="dxa"/>
            <w:vMerge/>
            <w:tcBorders>
              <w:top w:val="nil"/>
            </w:tcBorders>
          </w:tcPr>
          <w:p>
            <w:pPr>
              <w:rPr>
                <w:sz w:val="2"/>
                <w:szCs w:val="2"/>
              </w:rPr>
            </w:pPr>
          </w:p>
        </w:tc>
      </w:tr>
      <w:tr>
        <w:trPr>
          <w:trHeight w:val="265" w:hRule="atLeast"/>
        </w:trPr>
        <w:tc>
          <w:tcPr>
            <w:tcW w:w="1269" w:type="dxa"/>
            <w:tcBorders>
              <w:top w:val="nil"/>
              <w:bottom w:val="nil"/>
            </w:tcBorders>
          </w:tcPr>
          <w:p>
            <w:pPr>
              <w:pStyle w:val="TableParagraph"/>
              <w:rPr>
                <w:rFonts w:ascii="Times New Roman"/>
                <w:sz w:val="18"/>
              </w:rPr>
            </w:pPr>
          </w:p>
        </w:tc>
        <w:tc>
          <w:tcPr>
            <w:tcW w:w="2440" w:type="dxa"/>
            <w:tcBorders>
              <w:top w:val="nil"/>
              <w:bottom w:val="nil"/>
            </w:tcBorders>
          </w:tcPr>
          <w:p>
            <w:pPr>
              <w:pStyle w:val="TableParagraph"/>
              <w:spacing w:line="246" w:lineRule="exact"/>
              <w:ind w:left="58"/>
              <w:rPr>
                <w:sz w:val="24"/>
              </w:rPr>
            </w:pPr>
            <w:r>
              <w:rPr>
                <w:sz w:val="24"/>
              </w:rPr>
              <w:t>instrucción de medio</w:t>
            </w:r>
          </w:p>
        </w:tc>
        <w:tc>
          <w:tcPr>
            <w:tcW w:w="7626" w:type="dxa"/>
            <w:tcBorders>
              <w:top w:val="nil"/>
              <w:bottom w:val="nil"/>
            </w:tcBorders>
          </w:tcPr>
          <w:p>
            <w:pPr>
              <w:pStyle w:val="TableParagraph"/>
              <w:spacing w:line="246" w:lineRule="exact"/>
              <w:ind w:left="57"/>
              <w:rPr>
                <w:sz w:val="24"/>
              </w:rPr>
            </w:pPr>
            <w:r>
              <w:rPr>
                <w:sz w:val="24"/>
              </w:rPr>
              <w:t>sus siglas en inglés) proporcionarán capacitación profesional continua</w:t>
            </w:r>
          </w:p>
        </w:tc>
        <w:tc>
          <w:tcPr>
            <w:tcW w:w="2156" w:type="dxa"/>
            <w:vMerge/>
            <w:tcBorders>
              <w:top w:val="nil"/>
            </w:tcBorders>
          </w:tcPr>
          <w:p>
            <w:pPr>
              <w:rPr>
                <w:sz w:val="2"/>
                <w:szCs w:val="2"/>
              </w:rPr>
            </w:pPr>
          </w:p>
        </w:tc>
        <w:tc>
          <w:tcPr>
            <w:tcW w:w="1619" w:type="dxa"/>
            <w:vMerge/>
            <w:tcBorders>
              <w:top w:val="nil"/>
            </w:tcBorders>
          </w:tcPr>
          <w:p>
            <w:pPr>
              <w:rPr>
                <w:sz w:val="2"/>
                <w:szCs w:val="2"/>
              </w:rPr>
            </w:pPr>
          </w:p>
        </w:tc>
      </w:tr>
      <w:tr>
        <w:trPr>
          <w:trHeight w:val="265" w:hRule="atLeast"/>
        </w:trPr>
        <w:tc>
          <w:tcPr>
            <w:tcW w:w="1269" w:type="dxa"/>
            <w:tcBorders>
              <w:top w:val="nil"/>
              <w:bottom w:val="nil"/>
            </w:tcBorders>
          </w:tcPr>
          <w:p>
            <w:pPr>
              <w:pStyle w:val="TableParagraph"/>
              <w:rPr>
                <w:rFonts w:ascii="Times New Roman"/>
                <w:sz w:val="18"/>
              </w:rPr>
            </w:pPr>
          </w:p>
        </w:tc>
        <w:tc>
          <w:tcPr>
            <w:tcW w:w="2440" w:type="dxa"/>
            <w:tcBorders>
              <w:top w:val="nil"/>
              <w:bottom w:val="nil"/>
            </w:tcBorders>
          </w:tcPr>
          <w:p>
            <w:pPr>
              <w:pStyle w:val="TableParagraph"/>
              <w:spacing w:line="246" w:lineRule="exact"/>
              <w:ind w:left="58"/>
              <w:rPr>
                <w:sz w:val="24"/>
              </w:rPr>
            </w:pPr>
            <w:r>
              <w:rPr>
                <w:sz w:val="24"/>
              </w:rPr>
              <w:t>tiempo</w:t>
            </w:r>
          </w:p>
        </w:tc>
        <w:tc>
          <w:tcPr>
            <w:tcW w:w="7626" w:type="dxa"/>
            <w:tcBorders>
              <w:top w:val="nil"/>
              <w:bottom w:val="nil"/>
            </w:tcBorders>
          </w:tcPr>
          <w:p>
            <w:pPr>
              <w:pStyle w:val="TableParagraph"/>
              <w:spacing w:line="246" w:lineRule="exact"/>
              <w:ind w:left="57"/>
              <w:rPr>
                <w:sz w:val="24"/>
              </w:rPr>
            </w:pPr>
            <w:r>
              <w:rPr>
                <w:sz w:val="24"/>
              </w:rPr>
              <w:t>que incluye capacitación semipresencial, apoyo del condado y</w:t>
            </w:r>
          </w:p>
        </w:tc>
        <w:tc>
          <w:tcPr>
            <w:tcW w:w="2156" w:type="dxa"/>
            <w:vMerge/>
            <w:tcBorders>
              <w:top w:val="nil"/>
            </w:tcBorders>
          </w:tcPr>
          <w:p>
            <w:pPr>
              <w:rPr>
                <w:sz w:val="2"/>
                <w:szCs w:val="2"/>
              </w:rPr>
            </w:pPr>
          </w:p>
        </w:tc>
        <w:tc>
          <w:tcPr>
            <w:tcW w:w="1619" w:type="dxa"/>
            <w:vMerge/>
            <w:tcBorders>
              <w:top w:val="nil"/>
            </w:tcBorders>
          </w:tcPr>
          <w:p>
            <w:pPr>
              <w:rPr>
                <w:sz w:val="2"/>
                <w:szCs w:val="2"/>
              </w:rPr>
            </w:pPr>
          </w:p>
        </w:tc>
      </w:tr>
      <w:tr>
        <w:trPr>
          <w:trHeight w:val="265" w:hRule="atLeast"/>
        </w:trPr>
        <w:tc>
          <w:tcPr>
            <w:tcW w:w="1269" w:type="dxa"/>
            <w:tcBorders>
              <w:top w:val="nil"/>
              <w:bottom w:val="nil"/>
            </w:tcBorders>
          </w:tcPr>
          <w:p>
            <w:pPr>
              <w:pStyle w:val="TableParagraph"/>
              <w:rPr>
                <w:rFonts w:ascii="Times New Roman"/>
                <w:sz w:val="18"/>
              </w:rPr>
            </w:pPr>
          </w:p>
        </w:tc>
        <w:tc>
          <w:tcPr>
            <w:tcW w:w="2440" w:type="dxa"/>
            <w:tcBorders>
              <w:top w:val="nil"/>
              <w:bottom w:val="nil"/>
            </w:tcBorders>
          </w:tcPr>
          <w:p>
            <w:pPr>
              <w:pStyle w:val="TableParagraph"/>
              <w:rPr>
                <w:rFonts w:ascii="Times New Roman"/>
                <w:sz w:val="18"/>
              </w:rPr>
            </w:pPr>
          </w:p>
        </w:tc>
        <w:tc>
          <w:tcPr>
            <w:tcW w:w="7626" w:type="dxa"/>
            <w:tcBorders>
              <w:top w:val="nil"/>
              <w:bottom w:val="nil"/>
            </w:tcBorders>
          </w:tcPr>
          <w:p>
            <w:pPr>
              <w:pStyle w:val="TableParagraph"/>
              <w:spacing w:line="246" w:lineRule="exact"/>
              <w:ind w:left="57"/>
              <w:rPr>
                <w:sz w:val="24"/>
              </w:rPr>
            </w:pPr>
            <w:r>
              <w:rPr>
                <w:sz w:val="24"/>
              </w:rPr>
              <w:t>colaboración en el sitio como un medio para apoyar la implementación</w:t>
            </w:r>
          </w:p>
        </w:tc>
        <w:tc>
          <w:tcPr>
            <w:tcW w:w="2156" w:type="dxa"/>
            <w:vMerge/>
            <w:tcBorders>
              <w:top w:val="nil"/>
            </w:tcBorders>
          </w:tcPr>
          <w:p>
            <w:pPr>
              <w:rPr>
                <w:sz w:val="2"/>
                <w:szCs w:val="2"/>
              </w:rPr>
            </w:pPr>
          </w:p>
        </w:tc>
        <w:tc>
          <w:tcPr>
            <w:tcW w:w="1619" w:type="dxa"/>
            <w:vMerge/>
            <w:tcBorders>
              <w:top w:val="nil"/>
            </w:tcBorders>
          </w:tcPr>
          <w:p>
            <w:pPr>
              <w:rPr>
                <w:sz w:val="2"/>
                <w:szCs w:val="2"/>
              </w:rPr>
            </w:pPr>
          </w:p>
        </w:tc>
      </w:tr>
      <w:tr>
        <w:trPr>
          <w:trHeight w:val="265" w:hRule="atLeast"/>
        </w:trPr>
        <w:tc>
          <w:tcPr>
            <w:tcW w:w="1269" w:type="dxa"/>
            <w:tcBorders>
              <w:top w:val="nil"/>
              <w:bottom w:val="nil"/>
            </w:tcBorders>
          </w:tcPr>
          <w:p>
            <w:pPr>
              <w:pStyle w:val="TableParagraph"/>
              <w:rPr>
                <w:rFonts w:ascii="Times New Roman"/>
                <w:sz w:val="18"/>
              </w:rPr>
            </w:pPr>
          </w:p>
        </w:tc>
        <w:tc>
          <w:tcPr>
            <w:tcW w:w="2440" w:type="dxa"/>
            <w:tcBorders>
              <w:top w:val="nil"/>
              <w:bottom w:val="nil"/>
            </w:tcBorders>
          </w:tcPr>
          <w:p>
            <w:pPr>
              <w:pStyle w:val="TableParagraph"/>
              <w:rPr>
                <w:rFonts w:ascii="Times New Roman"/>
                <w:sz w:val="18"/>
              </w:rPr>
            </w:pPr>
          </w:p>
        </w:tc>
        <w:tc>
          <w:tcPr>
            <w:tcW w:w="7626" w:type="dxa"/>
            <w:tcBorders>
              <w:top w:val="nil"/>
              <w:bottom w:val="nil"/>
            </w:tcBorders>
          </w:tcPr>
          <w:p>
            <w:pPr>
              <w:pStyle w:val="TableParagraph"/>
              <w:spacing w:line="246" w:lineRule="exact"/>
              <w:ind w:left="57"/>
              <w:rPr>
                <w:sz w:val="24"/>
              </w:rPr>
            </w:pPr>
            <w:r>
              <w:rPr>
                <w:sz w:val="24"/>
              </w:rPr>
              <w:t>de las normas, los marcos y los materiales de California en artes</w:t>
            </w:r>
          </w:p>
        </w:tc>
        <w:tc>
          <w:tcPr>
            <w:tcW w:w="2156" w:type="dxa"/>
            <w:vMerge/>
            <w:tcBorders>
              <w:top w:val="nil"/>
            </w:tcBorders>
          </w:tcPr>
          <w:p>
            <w:pPr>
              <w:rPr>
                <w:sz w:val="2"/>
                <w:szCs w:val="2"/>
              </w:rPr>
            </w:pPr>
          </w:p>
        </w:tc>
        <w:tc>
          <w:tcPr>
            <w:tcW w:w="1619" w:type="dxa"/>
            <w:vMerge/>
            <w:tcBorders>
              <w:top w:val="nil"/>
            </w:tcBorders>
          </w:tcPr>
          <w:p>
            <w:pPr>
              <w:rPr>
                <w:sz w:val="2"/>
                <w:szCs w:val="2"/>
              </w:rPr>
            </w:pPr>
          </w:p>
        </w:tc>
      </w:tr>
      <w:tr>
        <w:trPr>
          <w:trHeight w:val="265" w:hRule="atLeast"/>
        </w:trPr>
        <w:tc>
          <w:tcPr>
            <w:tcW w:w="1269" w:type="dxa"/>
            <w:tcBorders>
              <w:top w:val="nil"/>
              <w:bottom w:val="nil"/>
            </w:tcBorders>
          </w:tcPr>
          <w:p>
            <w:pPr>
              <w:pStyle w:val="TableParagraph"/>
              <w:rPr>
                <w:rFonts w:ascii="Times New Roman"/>
                <w:sz w:val="18"/>
              </w:rPr>
            </w:pPr>
          </w:p>
        </w:tc>
        <w:tc>
          <w:tcPr>
            <w:tcW w:w="2440" w:type="dxa"/>
            <w:tcBorders>
              <w:top w:val="nil"/>
              <w:bottom w:val="nil"/>
            </w:tcBorders>
          </w:tcPr>
          <w:p>
            <w:pPr>
              <w:pStyle w:val="TableParagraph"/>
              <w:rPr>
                <w:rFonts w:ascii="Times New Roman"/>
                <w:sz w:val="18"/>
              </w:rPr>
            </w:pPr>
          </w:p>
        </w:tc>
        <w:tc>
          <w:tcPr>
            <w:tcW w:w="7626" w:type="dxa"/>
            <w:tcBorders>
              <w:top w:val="nil"/>
              <w:bottom w:val="nil"/>
            </w:tcBorders>
          </w:tcPr>
          <w:p>
            <w:pPr>
              <w:pStyle w:val="TableParagraph"/>
              <w:spacing w:line="246" w:lineRule="exact"/>
              <w:ind w:left="57"/>
              <w:rPr>
                <w:sz w:val="24"/>
              </w:rPr>
            </w:pPr>
            <w:r>
              <w:rPr>
                <w:sz w:val="24"/>
              </w:rPr>
              <w:t>lingüísticas en inglés (ELA, por sus siglas en inglés), el programa</w:t>
            </w:r>
          </w:p>
        </w:tc>
        <w:tc>
          <w:tcPr>
            <w:tcW w:w="2156" w:type="dxa"/>
            <w:vMerge/>
            <w:tcBorders>
              <w:top w:val="nil"/>
            </w:tcBorders>
          </w:tcPr>
          <w:p>
            <w:pPr>
              <w:rPr>
                <w:sz w:val="2"/>
                <w:szCs w:val="2"/>
              </w:rPr>
            </w:pPr>
          </w:p>
        </w:tc>
        <w:tc>
          <w:tcPr>
            <w:tcW w:w="1619" w:type="dxa"/>
            <w:vMerge/>
            <w:tcBorders>
              <w:top w:val="nil"/>
            </w:tcBorders>
          </w:tcPr>
          <w:p>
            <w:pPr>
              <w:rPr>
                <w:sz w:val="2"/>
                <w:szCs w:val="2"/>
              </w:rPr>
            </w:pPr>
          </w:p>
        </w:tc>
      </w:tr>
      <w:tr>
        <w:trPr>
          <w:trHeight w:val="265" w:hRule="atLeast"/>
        </w:trPr>
        <w:tc>
          <w:tcPr>
            <w:tcW w:w="1269" w:type="dxa"/>
            <w:tcBorders>
              <w:top w:val="nil"/>
              <w:bottom w:val="nil"/>
            </w:tcBorders>
          </w:tcPr>
          <w:p>
            <w:pPr>
              <w:pStyle w:val="TableParagraph"/>
              <w:rPr>
                <w:rFonts w:ascii="Times New Roman"/>
                <w:sz w:val="18"/>
              </w:rPr>
            </w:pPr>
          </w:p>
        </w:tc>
        <w:tc>
          <w:tcPr>
            <w:tcW w:w="2440" w:type="dxa"/>
            <w:tcBorders>
              <w:top w:val="nil"/>
              <w:bottom w:val="nil"/>
            </w:tcBorders>
          </w:tcPr>
          <w:p>
            <w:pPr>
              <w:pStyle w:val="TableParagraph"/>
              <w:rPr>
                <w:rFonts w:ascii="Times New Roman"/>
                <w:sz w:val="18"/>
              </w:rPr>
            </w:pPr>
          </w:p>
        </w:tc>
        <w:tc>
          <w:tcPr>
            <w:tcW w:w="7626" w:type="dxa"/>
            <w:tcBorders>
              <w:top w:val="nil"/>
              <w:bottom w:val="nil"/>
            </w:tcBorders>
          </w:tcPr>
          <w:p>
            <w:pPr>
              <w:pStyle w:val="TableParagraph"/>
              <w:spacing w:line="246" w:lineRule="exact"/>
              <w:ind w:left="57"/>
              <w:rPr>
                <w:sz w:val="24"/>
              </w:rPr>
            </w:pPr>
            <w:r>
              <w:rPr>
                <w:sz w:val="24"/>
              </w:rPr>
              <w:t>Desarrollo del Idioma Inglés (ELD, por sus siglas en inglés),</w:t>
            </w:r>
          </w:p>
        </w:tc>
        <w:tc>
          <w:tcPr>
            <w:tcW w:w="2156" w:type="dxa"/>
            <w:vMerge/>
            <w:tcBorders>
              <w:top w:val="nil"/>
            </w:tcBorders>
          </w:tcPr>
          <w:p>
            <w:pPr>
              <w:rPr>
                <w:sz w:val="2"/>
                <w:szCs w:val="2"/>
              </w:rPr>
            </w:pPr>
          </w:p>
        </w:tc>
        <w:tc>
          <w:tcPr>
            <w:tcW w:w="1619" w:type="dxa"/>
            <w:vMerge/>
            <w:tcBorders>
              <w:top w:val="nil"/>
            </w:tcBorders>
          </w:tcPr>
          <w:p>
            <w:pPr>
              <w:rPr>
                <w:sz w:val="2"/>
                <w:szCs w:val="2"/>
              </w:rPr>
            </w:pPr>
          </w:p>
        </w:tc>
      </w:tr>
      <w:tr>
        <w:trPr>
          <w:trHeight w:val="265" w:hRule="atLeast"/>
        </w:trPr>
        <w:tc>
          <w:tcPr>
            <w:tcW w:w="1269" w:type="dxa"/>
            <w:tcBorders>
              <w:top w:val="nil"/>
              <w:bottom w:val="nil"/>
            </w:tcBorders>
          </w:tcPr>
          <w:p>
            <w:pPr>
              <w:pStyle w:val="TableParagraph"/>
              <w:rPr>
                <w:rFonts w:ascii="Times New Roman"/>
                <w:sz w:val="18"/>
              </w:rPr>
            </w:pPr>
          </w:p>
        </w:tc>
        <w:tc>
          <w:tcPr>
            <w:tcW w:w="2440" w:type="dxa"/>
            <w:tcBorders>
              <w:top w:val="nil"/>
              <w:bottom w:val="nil"/>
            </w:tcBorders>
          </w:tcPr>
          <w:p>
            <w:pPr>
              <w:pStyle w:val="TableParagraph"/>
              <w:rPr>
                <w:rFonts w:ascii="Times New Roman"/>
                <w:sz w:val="18"/>
              </w:rPr>
            </w:pPr>
          </w:p>
        </w:tc>
        <w:tc>
          <w:tcPr>
            <w:tcW w:w="7626" w:type="dxa"/>
            <w:tcBorders>
              <w:top w:val="nil"/>
              <w:bottom w:val="nil"/>
            </w:tcBorders>
          </w:tcPr>
          <w:p>
            <w:pPr>
              <w:pStyle w:val="TableParagraph"/>
              <w:spacing w:line="246" w:lineRule="exact"/>
              <w:ind w:left="57"/>
              <w:rPr>
                <w:sz w:val="24"/>
              </w:rPr>
            </w:pPr>
            <w:r>
              <w:rPr>
                <w:sz w:val="24"/>
              </w:rPr>
              <w:t>matemáticas, historia, ciencias sociales y las Normas de Ciencia de</w:t>
            </w:r>
          </w:p>
        </w:tc>
        <w:tc>
          <w:tcPr>
            <w:tcW w:w="2156" w:type="dxa"/>
            <w:vMerge/>
            <w:tcBorders>
              <w:top w:val="nil"/>
            </w:tcBorders>
          </w:tcPr>
          <w:p>
            <w:pPr>
              <w:rPr>
                <w:sz w:val="2"/>
                <w:szCs w:val="2"/>
              </w:rPr>
            </w:pPr>
          </w:p>
        </w:tc>
        <w:tc>
          <w:tcPr>
            <w:tcW w:w="1619" w:type="dxa"/>
            <w:vMerge/>
            <w:tcBorders>
              <w:top w:val="nil"/>
            </w:tcBorders>
          </w:tcPr>
          <w:p>
            <w:pPr>
              <w:rPr>
                <w:sz w:val="2"/>
                <w:szCs w:val="2"/>
              </w:rPr>
            </w:pPr>
          </w:p>
        </w:tc>
      </w:tr>
      <w:tr>
        <w:trPr>
          <w:trHeight w:val="265" w:hRule="atLeast"/>
        </w:trPr>
        <w:tc>
          <w:tcPr>
            <w:tcW w:w="1269" w:type="dxa"/>
            <w:tcBorders>
              <w:top w:val="nil"/>
              <w:bottom w:val="nil"/>
            </w:tcBorders>
          </w:tcPr>
          <w:p>
            <w:pPr>
              <w:pStyle w:val="TableParagraph"/>
              <w:rPr>
                <w:rFonts w:ascii="Times New Roman"/>
                <w:sz w:val="18"/>
              </w:rPr>
            </w:pPr>
          </w:p>
        </w:tc>
        <w:tc>
          <w:tcPr>
            <w:tcW w:w="2440" w:type="dxa"/>
            <w:tcBorders>
              <w:top w:val="nil"/>
              <w:bottom w:val="nil"/>
            </w:tcBorders>
          </w:tcPr>
          <w:p>
            <w:pPr>
              <w:pStyle w:val="TableParagraph"/>
              <w:rPr>
                <w:rFonts w:ascii="Times New Roman"/>
                <w:sz w:val="18"/>
              </w:rPr>
            </w:pPr>
          </w:p>
        </w:tc>
        <w:tc>
          <w:tcPr>
            <w:tcW w:w="7626" w:type="dxa"/>
            <w:tcBorders>
              <w:top w:val="nil"/>
              <w:bottom w:val="nil"/>
            </w:tcBorders>
          </w:tcPr>
          <w:p>
            <w:pPr>
              <w:pStyle w:val="TableParagraph"/>
              <w:spacing w:line="246" w:lineRule="exact"/>
              <w:ind w:left="57"/>
              <w:rPr>
                <w:sz w:val="24"/>
              </w:rPr>
            </w:pPr>
            <w:r>
              <w:rPr>
                <w:sz w:val="24"/>
              </w:rPr>
              <w:t>Próxima Generación (NGSS, por sus siglas en inglés) para todos los</w:t>
            </w:r>
          </w:p>
        </w:tc>
        <w:tc>
          <w:tcPr>
            <w:tcW w:w="2156" w:type="dxa"/>
            <w:vMerge/>
            <w:tcBorders>
              <w:top w:val="nil"/>
            </w:tcBorders>
          </w:tcPr>
          <w:p>
            <w:pPr>
              <w:rPr>
                <w:sz w:val="2"/>
                <w:szCs w:val="2"/>
              </w:rPr>
            </w:pPr>
          </w:p>
        </w:tc>
        <w:tc>
          <w:tcPr>
            <w:tcW w:w="1619" w:type="dxa"/>
            <w:vMerge/>
            <w:tcBorders>
              <w:top w:val="nil"/>
            </w:tcBorders>
          </w:tcPr>
          <w:p>
            <w:pPr>
              <w:rPr>
                <w:sz w:val="2"/>
                <w:szCs w:val="2"/>
              </w:rPr>
            </w:pPr>
          </w:p>
        </w:tc>
      </w:tr>
      <w:tr>
        <w:trPr>
          <w:trHeight w:val="265" w:hRule="atLeast"/>
        </w:trPr>
        <w:tc>
          <w:tcPr>
            <w:tcW w:w="1269" w:type="dxa"/>
            <w:tcBorders>
              <w:top w:val="nil"/>
              <w:bottom w:val="nil"/>
            </w:tcBorders>
          </w:tcPr>
          <w:p>
            <w:pPr>
              <w:pStyle w:val="TableParagraph"/>
              <w:rPr>
                <w:rFonts w:ascii="Times New Roman"/>
                <w:sz w:val="18"/>
              </w:rPr>
            </w:pPr>
          </w:p>
        </w:tc>
        <w:tc>
          <w:tcPr>
            <w:tcW w:w="2440" w:type="dxa"/>
            <w:tcBorders>
              <w:top w:val="nil"/>
              <w:bottom w:val="nil"/>
            </w:tcBorders>
          </w:tcPr>
          <w:p>
            <w:pPr>
              <w:pStyle w:val="TableParagraph"/>
              <w:rPr>
                <w:rFonts w:ascii="Times New Roman"/>
                <w:sz w:val="18"/>
              </w:rPr>
            </w:pPr>
          </w:p>
        </w:tc>
        <w:tc>
          <w:tcPr>
            <w:tcW w:w="7626" w:type="dxa"/>
            <w:tcBorders>
              <w:top w:val="nil"/>
              <w:bottom w:val="nil"/>
            </w:tcBorders>
          </w:tcPr>
          <w:p>
            <w:pPr>
              <w:pStyle w:val="TableParagraph"/>
              <w:spacing w:line="246" w:lineRule="exact"/>
              <w:ind w:left="57"/>
              <w:rPr>
                <w:sz w:val="24"/>
              </w:rPr>
            </w:pPr>
            <w:r>
              <w:rPr>
                <w:sz w:val="24"/>
              </w:rPr>
              <w:t>alumnos, incluidos los alumnos sin duplicar y los alumnos con</w:t>
            </w:r>
          </w:p>
        </w:tc>
        <w:tc>
          <w:tcPr>
            <w:tcW w:w="2156" w:type="dxa"/>
            <w:vMerge/>
            <w:tcBorders>
              <w:top w:val="nil"/>
            </w:tcBorders>
          </w:tcPr>
          <w:p>
            <w:pPr>
              <w:rPr>
                <w:sz w:val="2"/>
                <w:szCs w:val="2"/>
              </w:rPr>
            </w:pPr>
          </w:p>
        </w:tc>
        <w:tc>
          <w:tcPr>
            <w:tcW w:w="1619" w:type="dxa"/>
            <w:vMerge/>
            <w:tcBorders>
              <w:top w:val="nil"/>
            </w:tcBorders>
          </w:tcPr>
          <w:p>
            <w:pPr>
              <w:rPr>
                <w:sz w:val="2"/>
                <w:szCs w:val="2"/>
              </w:rPr>
            </w:pPr>
          </w:p>
        </w:tc>
      </w:tr>
      <w:tr>
        <w:trPr>
          <w:trHeight w:val="543" w:hRule="atLeast"/>
        </w:trPr>
        <w:tc>
          <w:tcPr>
            <w:tcW w:w="1269" w:type="dxa"/>
            <w:tcBorders>
              <w:top w:val="nil"/>
            </w:tcBorders>
          </w:tcPr>
          <w:p>
            <w:pPr>
              <w:pStyle w:val="TableParagraph"/>
              <w:rPr>
                <w:rFonts w:ascii="Times New Roman"/>
                <w:sz w:val="22"/>
              </w:rPr>
            </w:pPr>
          </w:p>
        </w:tc>
        <w:tc>
          <w:tcPr>
            <w:tcW w:w="2440" w:type="dxa"/>
            <w:tcBorders>
              <w:top w:val="nil"/>
            </w:tcBorders>
          </w:tcPr>
          <w:p>
            <w:pPr>
              <w:pStyle w:val="TableParagraph"/>
              <w:rPr>
                <w:rFonts w:ascii="Times New Roman"/>
                <w:sz w:val="22"/>
              </w:rPr>
            </w:pPr>
          </w:p>
        </w:tc>
        <w:tc>
          <w:tcPr>
            <w:tcW w:w="7626" w:type="dxa"/>
            <w:tcBorders>
              <w:top w:val="nil"/>
            </w:tcBorders>
          </w:tcPr>
          <w:p>
            <w:pPr>
              <w:pStyle w:val="TableParagraph"/>
              <w:spacing w:line="267" w:lineRule="exact"/>
              <w:ind w:left="57"/>
              <w:rPr>
                <w:sz w:val="24"/>
              </w:rPr>
            </w:pPr>
            <w:r>
              <w:rPr>
                <w:sz w:val="24"/>
              </w:rPr>
              <w:t>necesidades especiales.</w:t>
            </w:r>
          </w:p>
        </w:tc>
        <w:tc>
          <w:tcPr>
            <w:tcW w:w="2156" w:type="dxa"/>
            <w:vMerge/>
            <w:tcBorders>
              <w:top w:val="nil"/>
            </w:tcBorders>
          </w:tcPr>
          <w:p>
            <w:pPr>
              <w:rPr>
                <w:sz w:val="2"/>
                <w:szCs w:val="2"/>
              </w:rPr>
            </w:pPr>
          </w:p>
        </w:tc>
        <w:tc>
          <w:tcPr>
            <w:tcW w:w="1619" w:type="dxa"/>
            <w:vMerge/>
            <w:tcBorders>
              <w:top w:val="nil"/>
            </w:tcBorders>
          </w:tcPr>
          <w:p>
            <w:pPr>
              <w:rPr>
                <w:sz w:val="2"/>
                <w:szCs w:val="2"/>
              </w:rPr>
            </w:pPr>
          </w:p>
        </w:tc>
      </w:tr>
    </w:tbl>
    <w:p>
      <w:pPr>
        <w:spacing w:after="0"/>
        <w:rPr>
          <w:sz w:val="2"/>
          <w:szCs w:val="2"/>
        </w:rPr>
        <w:sectPr>
          <w:pgSz w:w="15840" w:h="12240" w:orient="landscape"/>
          <w:pgMar w:header="0" w:footer="284" w:top="640" w:bottom="480" w:left="120" w:right="120"/>
        </w:sectPr>
      </w:pPr>
    </w:p>
    <w:tbl>
      <w:tblPr>
        <w:tblW w:w="0" w:type="auto"/>
        <w:jc w:val="left"/>
        <w:tblInd w:w="250" w:type="dxa"/>
        <w:tblBorders>
          <w:top w:val="single" w:sz="4" w:space="0" w:color="8496B0"/>
          <w:left w:val="single" w:sz="4" w:space="0" w:color="8496B0"/>
          <w:bottom w:val="single" w:sz="4" w:space="0" w:color="8496B0"/>
          <w:right w:val="single" w:sz="4" w:space="0" w:color="8496B0"/>
          <w:insideH w:val="single" w:sz="4" w:space="0" w:color="8496B0"/>
          <w:insideV w:val="single" w:sz="4" w:space="0" w:color="8496B0"/>
        </w:tblBorders>
        <w:tblLayout w:type="fixed"/>
        <w:tblCellMar>
          <w:top w:w="0" w:type="dxa"/>
          <w:left w:w="0" w:type="dxa"/>
          <w:bottom w:w="0" w:type="dxa"/>
          <w:right w:w="0" w:type="dxa"/>
        </w:tblCellMar>
        <w:tblLook w:val="01E0"/>
      </w:tblPr>
      <w:tblGrid>
        <w:gridCol w:w="1269"/>
        <w:gridCol w:w="2440"/>
        <w:gridCol w:w="7626"/>
        <w:gridCol w:w="2156"/>
        <w:gridCol w:w="1619"/>
      </w:tblGrid>
      <w:tr>
        <w:trPr>
          <w:trHeight w:val="609" w:hRule="atLeast"/>
        </w:trPr>
        <w:tc>
          <w:tcPr>
            <w:tcW w:w="1269" w:type="dxa"/>
            <w:shd w:val="clear" w:color="auto" w:fill="DBE5F1"/>
          </w:tcPr>
          <w:p>
            <w:pPr>
              <w:pStyle w:val="TableParagraph"/>
              <w:spacing w:before="54"/>
              <w:ind w:left="58"/>
              <w:rPr>
                <w:sz w:val="24"/>
              </w:rPr>
            </w:pPr>
            <w:r>
              <w:rPr>
                <w:sz w:val="24"/>
              </w:rPr>
              <w:t>Acción #</w:t>
            </w:r>
          </w:p>
        </w:tc>
        <w:tc>
          <w:tcPr>
            <w:tcW w:w="2440" w:type="dxa"/>
            <w:shd w:val="clear" w:color="auto" w:fill="DBE5F1"/>
          </w:tcPr>
          <w:p>
            <w:pPr>
              <w:pStyle w:val="TableParagraph"/>
              <w:spacing w:before="54"/>
              <w:ind w:left="58"/>
              <w:rPr>
                <w:sz w:val="24"/>
              </w:rPr>
            </w:pPr>
            <w:r>
              <w:rPr>
                <w:sz w:val="24"/>
              </w:rPr>
              <w:t>Título</w:t>
            </w:r>
          </w:p>
        </w:tc>
        <w:tc>
          <w:tcPr>
            <w:tcW w:w="7626" w:type="dxa"/>
            <w:shd w:val="clear" w:color="auto" w:fill="DBE5F1"/>
          </w:tcPr>
          <w:p>
            <w:pPr>
              <w:pStyle w:val="TableParagraph"/>
              <w:spacing w:before="54"/>
              <w:ind w:left="57"/>
              <w:rPr>
                <w:sz w:val="24"/>
              </w:rPr>
            </w:pPr>
            <w:r>
              <w:rPr>
                <w:sz w:val="24"/>
              </w:rPr>
              <w:t>Descripción</w:t>
            </w:r>
          </w:p>
        </w:tc>
        <w:tc>
          <w:tcPr>
            <w:tcW w:w="2156" w:type="dxa"/>
            <w:shd w:val="clear" w:color="auto" w:fill="DBE5F1"/>
          </w:tcPr>
          <w:p>
            <w:pPr>
              <w:pStyle w:val="TableParagraph"/>
              <w:spacing w:before="54"/>
              <w:ind w:left="210"/>
              <w:rPr>
                <w:sz w:val="24"/>
              </w:rPr>
            </w:pPr>
            <w:r>
              <w:rPr>
                <w:sz w:val="24"/>
              </w:rPr>
              <w:t>Total de Fondos</w:t>
            </w:r>
          </w:p>
        </w:tc>
        <w:tc>
          <w:tcPr>
            <w:tcW w:w="1619" w:type="dxa"/>
            <w:shd w:val="clear" w:color="auto" w:fill="DBE5F1"/>
          </w:tcPr>
          <w:p>
            <w:pPr>
              <w:pStyle w:val="TableParagraph"/>
              <w:spacing w:line="270" w:lineRule="atLeast" w:before="54"/>
              <w:ind w:left="742" w:right="67" w:hanging="648"/>
              <w:rPr>
                <w:sz w:val="24"/>
              </w:rPr>
            </w:pPr>
            <w:r>
              <w:rPr>
                <w:sz w:val="24"/>
              </w:rPr>
              <w:t>Contribuyend o</w:t>
            </w:r>
          </w:p>
        </w:tc>
      </w:tr>
      <w:tr>
        <w:trPr>
          <w:trHeight w:val="333" w:hRule="atLeast"/>
        </w:trPr>
        <w:tc>
          <w:tcPr>
            <w:tcW w:w="1269" w:type="dxa"/>
          </w:tcPr>
          <w:p>
            <w:pPr>
              <w:pStyle w:val="TableParagraph"/>
              <w:rPr>
                <w:rFonts w:ascii="Times New Roman"/>
                <w:sz w:val="22"/>
              </w:rPr>
            </w:pPr>
          </w:p>
        </w:tc>
        <w:tc>
          <w:tcPr>
            <w:tcW w:w="2440" w:type="dxa"/>
          </w:tcPr>
          <w:p>
            <w:pPr>
              <w:pStyle w:val="TableParagraph"/>
              <w:rPr>
                <w:rFonts w:ascii="Times New Roman"/>
                <w:sz w:val="22"/>
              </w:rPr>
            </w:pPr>
          </w:p>
        </w:tc>
        <w:tc>
          <w:tcPr>
            <w:tcW w:w="7626" w:type="dxa"/>
          </w:tcPr>
          <w:p>
            <w:pPr>
              <w:pStyle w:val="TableParagraph"/>
              <w:rPr>
                <w:rFonts w:ascii="Times New Roman"/>
                <w:sz w:val="22"/>
              </w:rPr>
            </w:pPr>
          </w:p>
        </w:tc>
        <w:tc>
          <w:tcPr>
            <w:tcW w:w="2156" w:type="dxa"/>
          </w:tcPr>
          <w:p>
            <w:pPr>
              <w:pStyle w:val="TableParagraph"/>
              <w:rPr>
                <w:rFonts w:ascii="Times New Roman"/>
                <w:sz w:val="22"/>
              </w:rPr>
            </w:pPr>
          </w:p>
        </w:tc>
        <w:tc>
          <w:tcPr>
            <w:tcW w:w="1619" w:type="dxa"/>
          </w:tcPr>
          <w:p>
            <w:pPr>
              <w:pStyle w:val="TableParagraph"/>
              <w:rPr>
                <w:rFonts w:ascii="Times New Roman"/>
                <w:sz w:val="22"/>
              </w:rPr>
            </w:pPr>
          </w:p>
        </w:tc>
      </w:tr>
      <w:tr>
        <w:trPr>
          <w:trHeight w:val="2265" w:hRule="atLeast"/>
        </w:trPr>
        <w:tc>
          <w:tcPr>
            <w:tcW w:w="1269" w:type="dxa"/>
          </w:tcPr>
          <w:p>
            <w:pPr>
              <w:pStyle w:val="TableParagraph"/>
              <w:spacing w:before="54"/>
              <w:ind w:left="9"/>
              <w:jc w:val="center"/>
              <w:rPr>
                <w:b/>
                <w:sz w:val="24"/>
              </w:rPr>
            </w:pPr>
            <w:r>
              <w:rPr>
                <w:b/>
                <w:sz w:val="24"/>
              </w:rPr>
              <w:t>2</w:t>
            </w:r>
          </w:p>
        </w:tc>
        <w:tc>
          <w:tcPr>
            <w:tcW w:w="2440" w:type="dxa"/>
          </w:tcPr>
          <w:p>
            <w:pPr>
              <w:pStyle w:val="TableParagraph"/>
              <w:spacing w:before="54"/>
              <w:ind w:left="58" w:right="204"/>
              <w:rPr>
                <w:sz w:val="24"/>
              </w:rPr>
            </w:pPr>
            <w:r>
              <w:rPr>
                <w:sz w:val="24"/>
              </w:rPr>
              <w:t>2 Instrucción de alta calidad</w:t>
            </w:r>
          </w:p>
        </w:tc>
        <w:tc>
          <w:tcPr>
            <w:tcW w:w="7626" w:type="dxa"/>
          </w:tcPr>
          <w:p>
            <w:pPr>
              <w:pStyle w:val="TableParagraph"/>
              <w:spacing w:before="54"/>
              <w:ind w:left="57" w:right="54"/>
              <w:rPr>
                <w:sz w:val="24"/>
              </w:rPr>
            </w:pPr>
            <w:r>
              <w:rPr>
                <w:sz w:val="24"/>
              </w:rPr>
              <w:t>Brindar instrucción de alta calidad a todos los alumnos, incluidos los alumnos sin duplicar y las personas con necesidades especiales, con maestros debidamente asignados y acreditados por completo, utilizando un currículo estandarizado, que se medirá con evaluaciones estandarizadas y procesos de informes para informar la enseñanza y el aprendizaje.</w:t>
            </w:r>
          </w:p>
        </w:tc>
        <w:tc>
          <w:tcPr>
            <w:tcW w:w="2156" w:type="dxa"/>
          </w:tcPr>
          <w:p>
            <w:pPr>
              <w:pStyle w:val="TableParagraph"/>
              <w:rPr>
                <w:rFonts w:ascii="Times New Roman"/>
                <w:sz w:val="22"/>
              </w:rPr>
            </w:pPr>
          </w:p>
        </w:tc>
        <w:tc>
          <w:tcPr>
            <w:tcW w:w="1619" w:type="dxa"/>
          </w:tcPr>
          <w:p>
            <w:pPr>
              <w:pStyle w:val="TableParagraph"/>
              <w:rPr>
                <w:rFonts w:ascii="Times New Roman"/>
                <w:sz w:val="22"/>
              </w:rPr>
            </w:pPr>
          </w:p>
        </w:tc>
      </w:tr>
      <w:tr>
        <w:trPr>
          <w:trHeight w:val="1161" w:hRule="atLeast"/>
        </w:trPr>
        <w:tc>
          <w:tcPr>
            <w:tcW w:w="1269" w:type="dxa"/>
          </w:tcPr>
          <w:p>
            <w:pPr>
              <w:pStyle w:val="TableParagraph"/>
              <w:spacing w:before="54"/>
              <w:ind w:left="9"/>
              <w:jc w:val="center"/>
              <w:rPr>
                <w:b/>
                <w:sz w:val="24"/>
              </w:rPr>
            </w:pPr>
            <w:r>
              <w:rPr>
                <w:b/>
                <w:sz w:val="24"/>
              </w:rPr>
              <w:t>3</w:t>
            </w:r>
          </w:p>
        </w:tc>
        <w:tc>
          <w:tcPr>
            <w:tcW w:w="2440" w:type="dxa"/>
          </w:tcPr>
          <w:p>
            <w:pPr>
              <w:pStyle w:val="TableParagraph"/>
              <w:spacing w:before="54"/>
              <w:ind w:left="58" w:right="711"/>
              <w:rPr>
                <w:sz w:val="24"/>
              </w:rPr>
            </w:pPr>
            <w:r>
              <w:rPr>
                <w:sz w:val="24"/>
              </w:rPr>
              <w:t>3 Materiales de instrucción</w:t>
            </w:r>
          </w:p>
        </w:tc>
        <w:tc>
          <w:tcPr>
            <w:tcW w:w="7626" w:type="dxa"/>
          </w:tcPr>
          <w:p>
            <w:pPr>
              <w:pStyle w:val="TableParagraph"/>
              <w:spacing w:before="54"/>
              <w:ind w:left="57" w:right="669"/>
              <w:rPr>
                <w:sz w:val="24"/>
              </w:rPr>
            </w:pPr>
            <w:r>
              <w:rPr>
                <w:sz w:val="24"/>
              </w:rPr>
              <w:t>Comprar e implementar el currículo de ciencias para los años de kínder a 8°</w:t>
            </w:r>
          </w:p>
        </w:tc>
        <w:tc>
          <w:tcPr>
            <w:tcW w:w="2156" w:type="dxa"/>
          </w:tcPr>
          <w:p>
            <w:pPr>
              <w:pStyle w:val="TableParagraph"/>
              <w:rPr>
                <w:rFonts w:ascii="Times New Roman"/>
                <w:sz w:val="22"/>
              </w:rPr>
            </w:pPr>
          </w:p>
        </w:tc>
        <w:tc>
          <w:tcPr>
            <w:tcW w:w="1619" w:type="dxa"/>
          </w:tcPr>
          <w:p>
            <w:pPr>
              <w:pStyle w:val="TableParagraph"/>
              <w:rPr>
                <w:rFonts w:ascii="Times New Roman"/>
                <w:sz w:val="22"/>
              </w:rPr>
            </w:pPr>
          </w:p>
        </w:tc>
      </w:tr>
      <w:tr>
        <w:trPr>
          <w:trHeight w:val="1713" w:hRule="atLeast"/>
        </w:trPr>
        <w:tc>
          <w:tcPr>
            <w:tcW w:w="1269" w:type="dxa"/>
          </w:tcPr>
          <w:p>
            <w:pPr>
              <w:pStyle w:val="TableParagraph"/>
              <w:spacing w:before="54"/>
              <w:ind w:left="9"/>
              <w:jc w:val="center"/>
              <w:rPr>
                <w:b/>
                <w:sz w:val="24"/>
              </w:rPr>
            </w:pPr>
            <w:r>
              <w:rPr>
                <w:b/>
                <w:sz w:val="24"/>
              </w:rPr>
              <w:t>4</w:t>
            </w:r>
          </w:p>
        </w:tc>
        <w:tc>
          <w:tcPr>
            <w:tcW w:w="2440" w:type="dxa"/>
          </w:tcPr>
          <w:p>
            <w:pPr>
              <w:pStyle w:val="TableParagraph"/>
              <w:spacing w:before="54"/>
              <w:ind w:left="58" w:right="857"/>
              <w:rPr>
                <w:sz w:val="24"/>
              </w:rPr>
            </w:pPr>
            <w:r>
              <w:rPr>
                <w:sz w:val="24"/>
              </w:rPr>
              <w:t>4 Aumento de maestros</w:t>
            </w:r>
          </w:p>
        </w:tc>
        <w:tc>
          <w:tcPr>
            <w:tcW w:w="7626" w:type="dxa"/>
          </w:tcPr>
          <w:p>
            <w:pPr>
              <w:pStyle w:val="TableParagraph"/>
              <w:spacing w:before="54"/>
              <w:ind w:left="57" w:right="352"/>
              <w:jc w:val="both"/>
              <w:rPr>
                <w:sz w:val="24"/>
              </w:rPr>
            </w:pPr>
            <w:r>
              <w:rPr>
                <w:sz w:val="24"/>
              </w:rPr>
              <w:t>Se contrató a un maestro adicional y a un maestro practicante para mantener el tamaño reducido de los salones de clases debido a los requisitos de distanciamiento social y los datos recopilados a través de las encuestas para padres.</w:t>
            </w:r>
          </w:p>
        </w:tc>
        <w:tc>
          <w:tcPr>
            <w:tcW w:w="2156" w:type="dxa"/>
          </w:tcPr>
          <w:p>
            <w:pPr>
              <w:pStyle w:val="TableParagraph"/>
              <w:rPr>
                <w:rFonts w:ascii="Times New Roman"/>
                <w:sz w:val="22"/>
              </w:rPr>
            </w:pPr>
          </w:p>
        </w:tc>
        <w:tc>
          <w:tcPr>
            <w:tcW w:w="1619" w:type="dxa"/>
          </w:tcPr>
          <w:p>
            <w:pPr>
              <w:pStyle w:val="TableParagraph"/>
              <w:rPr>
                <w:rFonts w:ascii="Times New Roman"/>
                <w:sz w:val="22"/>
              </w:rPr>
            </w:pPr>
          </w:p>
        </w:tc>
      </w:tr>
      <w:tr>
        <w:trPr>
          <w:trHeight w:val="2265" w:hRule="atLeast"/>
        </w:trPr>
        <w:tc>
          <w:tcPr>
            <w:tcW w:w="1269" w:type="dxa"/>
          </w:tcPr>
          <w:p>
            <w:pPr>
              <w:pStyle w:val="TableParagraph"/>
              <w:spacing w:before="54"/>
              <w:ind w:left="9"/>
              <w:jc w:val="center"/>
              <w:rPr>
                <w:b/>
                <w:sz w:val="24"/>
              </w:rPr>
            </w:pPr>
            <w:r>
              <w:rPr>
                <w:b/>
                <w:sz w:val="24"/>
              </w:rPr>
              <w:t>5</w:t>
            </w:r>
          </w:p>
        </w:tc>
        <w:tc>
          <w:tcPr>
            <w:tcW w:w="2440" w:type="dxa"/>
          </w:tcPr>
          <w:p>
            <w:pPr>
              <w:pStyle w:val="TableParagraph"/>
              <w:spacing w:before="54"/>
              <w:ind w:left="58" w:right="257"/>
              <w:rPr>
                <w:sz w:val="24"/>
              </w:rPr>
            </w:pPr>
            <w:r>
              <w:rPr>
                <w:sz w:val="24"/>
              </w:rPr>
              <w:t>5 Supervisación del progreso</w:t>
            </w:r>
          </w:p>
        </w:tc>
        <w:tc>
          <w:tcPr>
            <w:tcW w:w="7626" w:type="dxa"/>
          </w:tcPr>
          <w:p>
            <w:pPr>
              <w:pStyle w:val="TableParagraph"/>
              <w:spacing w:before="54"/>
              <w:ind w:left="57" w:right="174"/>
              <w:rPr>
                <w:sz w:val="24"/>
              </w:rPr>
            </w:pPr>
            <w:r>
              <w:rPr>
                <w:sz w:val="24"/>
              </w:rPr>
              <w:t>Mantener un sistema de supervisación del progreso que incluya un sistema de gestión de datos tanto electrónico como a través de hojas de cálculo y mantener una infraestructura de análisis continuo del progreso estudiantil. Estos datos se utilizarán para supervisar el progreso de los alumnos e identificar a los alumnos que necesitan intervención para cerrar la brecha de logros académicos.</w:t>
            </w:r>
          </w:p>
        </w:tc>
        <w:tc>
          <w:tcPr>
            <w:tcW w:w="2156" w:type="dxa"/>
          </w:tcPr>
          <w:p>
            <w:pPr>
              <w:pStyle w:val="TableParagraph"/>
              <w:rPr>
                <w:rFonts w:ascii="Times New Roman"/>
                <w:sz w:val="22"/>
              </w:rPr>
            </w:pPr>
          </w:p>
        </w:tc>
        <w:tc>
          <w:tcPr>
            <w:tcW w:w="1619" w:type="dxa"/>
          </w:tcPr>
          <w:p>
            <w:pPr>
              <w:pStyle w:val="TableParagraph"/>
              <w:rPr>
                <w:rFonts w:ascii="Times New Roman"/>
                <w:sz w:val="22"/>
              </w:rPr>
            </w:pPr>
          </w:p>
        </w:tc>
      </w:tr>
      <w:tr>
        <w:trPr>
          <w:trHeight w:val="2265" w:hRule="atLeast"/>
        </w:trPr>
        <w:tc>
          <w:tcPr>
            <w:tcW w:w="1269" w:type="dxa"/>
          </w:tcPr>
          <w:p>
            <w:pPr>
              <w:pStyle w:val="TableParagraph"/>
              <w:spacing w:before="54"/>
              <w:ind w:left="9"/>
              <w:jc w:val="center"/>
              <w:rPr>
                <w:b/>
                <w:sz w:val="24"/>
              </w:rPr>
            </w:pPr>
            <w:r>
              <w:rPr>
                <w:b/>
                <w:sz w:val="24"/>
              </w:rPr>
              <w:t>6</w:t>
            </w:r>
          </w:p>
        </w:tc>
        <w:tc>
          <w:tcPr>
            <w:tcW w:w="2440" w:type="dxa"/>
          </w:tcPr>
          <w:p>
            <w:pPr>
              <w:pStyle w:val="TableParagraph"/>
              <w:spacing w:before="54"/>
              <w:ind w:left="58" w:right="404"/>
              <w:rPr>
                <w:sz w:val="24"/>
              </w:rPr>
            </w:pPr>
            <w:r>
              <w:rPr>
                <w:sz w:val="24"/>
              </w:rPr>
              <w:t>6 Intervenciones y apoyo</w:t>
            </w:r>
          </w:p>
        </w:tc>
        <w:tc>
          <w:tcPr>
            <w:tcW w:w="7626" w:type="dxa"/>
          </w:tcPr>
          <w:p>
            <w:pPr>
              <w:pStyle w:val="TableParagraph"/>
              <w:spacing w:before="54"/>
              <w:ind w:left="57" w:right="69"/>
              <w:rPr>
                <w:sz w:val="24"/>
              </w:rPr>
            </w:pPr>
            <w:r>
              <w:rPr>
                <w:sz w:val="24"/>
              </w:rPr>
              <w:t>Proporcionar intervenciones y apoyo utilizando el Sistema de Apoyo de Múltiples Niveles (MTSS, por sus siglas en inglés) para abordar las necesidades académicas de nuestros alumnos en desventaja socioeconómica, Estudiantes del Inglés, jóvenes de crianza temporal, jóvenes indigentes, alumnos con discapacidades, incluidos los alumnos con sin duplicar y las personas con necesidades especiales.</w:t>
            </w:r>
          </w:p>
        </w:tc>
        <w:tc>
          <w:tcPr>
            <w:tcW w:w="2156" w:type="dxa"/>
          </w:tcPr>
          <w:p>
            <w:pPr>
              <w:pStyle w:val="TableParagraph"/>
              <w:rPr>
                <w:rFonts w:ascii="Times New Roman"/>
                <w:sz w:val="22"/>
              </w:rPr>
            </w:pPr>
          </w:p>
        </w:tc>
        <w:tc>
          <w:tcPr>
            <w:tcW w:w="1619" w:type="dxa"/>
          </w:tcPr>
          <w:p>
            <w:pPr>
              <w:pStyle w:val="TableParagraph"/>
              <w:rPr>
                <w:rFonts w:ascii="Times New Roman"/>
                <w:sz w:val="22"/>
              </w:rPr>
            </w:pPr>
          </w:p>
        </w:tc>
      </w:tr>
    </w:tbl>
    <w:p>
      <w:pPr>
        <w:spacing w:after="0"/>
        <w:rPr>
          <w:rFonts w:ascii="Times New Roman"/>
          <w:sz w:val="22"/>
        </w:rPr>
        <w:sectPr>
          <w:pgSz w:w="15840" w:h="12240" w:orient="landscape"/>
          <w:pgMar w:header="0" w:footer="284" w:top="640" w:bottom="480" w:left="120" w:right="120"/>
        </w:sectPr>
      </w:pPr>
    </w:p>
    <w:tbl>
      <w:tblPr>
        <w:tblW w:w="0" w:type="auto"/>
        <w:jc w:val="left"/>
        <w:tblInd w:w="250" w:type="dxa"/>
        <w:tblBorders>
          <w:top w:val="single" w:sz="4" w:space="0" w:color="8496B0"/>
          <w:left w:val="single" w:sz="4" w:space="0" w:color="8496B0"/>
          <w:bottom w:val="single" w:sz="4" w:space="0" w:color="8496B0"/>
          <w:right w:val="single" w:sz="4" w:space="0" w:color="8496B0"/>
          <w:insideH w:val="single" w:sz="4" w:space="0" w:color="8496B0"/>
          <w:insideV w:val="single" w:sz="4" w:space="0" w:color="8496B0"/>
        </w:tblBorders>
        <w:tblLayout w:type="fixed"/>
        <w:tblCellMar>
          <w:top w:w="0" w:type="dxa"/>
          <w:left w:w="0" w:type="dxa"/>
          <w:bottom w:w="0" w:type="dxa"/>
          <w:right w:w="0" w:type="dxa"/>
        </w:tblCellMar>
        <w:tblLook w:val="01E0"/>
      </w:tblPr>
      <w:tblGrid>
        <w:gridCol w:w="1269"/>
        <w:gridCol w:w="2440"/>
        <w:gridCol w:w="7626"/>
        <w:gridCol w:w="2156"/>
        <w:gridCol w:w="1619"/>
      </w:tblGrid>
      <w:tr>
        <w:trPr>
          <w:trHeight w:val="609" w:hRule="atLeast"/>
        </w:trPr>
        <w:tc>
          <w:tcPr>
            <w:tcW w:w="1269" w:type="dxa"/>
            <w:shd w:val="clear" w:color="auto" w:fill="DBE5F1"/>
          </w:tcPr>
          <w:p>
            <w:pPr>
              <w:pStyle w:val="TableParagraph"/>
              <w:spacing w:before="54"/>
              <w:ind w:left="58"/>
              <w:rPr>
                <w:sz w:val="24"/>
              </w:rPr>
            </w:pPr>
            <w:r>
              <w:rPr>
                <w:sz w:val="24"/>
              </w:rPr>
              <w:t>Acción #</w:t>
            </w:r>
          </w:p>
        </w:tc>
        <w:tc>
          <w:tcPr>
            <w:tcW w:w="2440" w:type="dxa"/>
            <w:shd w:val="clear" w:color="auto" w:fill="DBE5F1"/>
          </w:tcPr>
          <w:p>
            <w:pPr>
              <w:pStyle w:val="TableParagraph"/>
              <w:spacing w:before="54"/>
              <w:ind w:left="58"/>
              <w:rPr>
                <w:sz w:val="24"/>
              </w:rPr>
            </w:pPr>
            <w:r>
              <w:rPr>
                <w:sz w:val="24"/>
              </w:rPr>
              <w:t>Título</w:t>
            </w:r>
          </w:p>
        </w:tc>
        <w:tc>
          <w:tcPr>
            <w:tcW w:w="7626" w:type="dxa"/>
            <w:shd w:val="clear" w:color="auto" w:fill="DBE5F1"/>
          </w:tcPr>
          <w:p>
            <w:pPr>
              <w:pStyle w:val="TableParagraph"/>
              <w:spacing w:before="54"/>
              <w:ind w:left="57"/>
              <w:rPr>
                <w:sz w:val="24"/>
              </w:rPr>
            </w:pPr>
            <w:r>
              <w:rPr>
                <w:sz w:val="24"/>
              </w:rPr>
              <w:t>Descripción</w:t>
            </w:r>
          </w:p>
        </w:tc>
        <w:tc>
          <w:tcPr>
            <w:tcW w:w="2156" w:type="dxa"/>
            <w:shd w:val="clear" w:color="auto" w:fill="DBE5F1"/>
          </w:tcPr>
          <w:p>
            <w:pPr>
              <w:pStyle w:val="TableParagraph"/>
              <w:spacing w:before="54"/>
              <w:ind w:left="210"/>
              <w:rPr>
                <w:sz w:val="24"/>
              </w:rPr>
            </w:pPr>
            <w:r>
              <w:rPr>
                <w:sz w:val="24"/>
              </w:rPr>
              <w:t>Total de Fondos</w:t>
            </w:r>
          </w:p>
        </w:tc>
        <w:tc>
          <w:tcPr>
            <w:tcW w:w="1619" w:type="dxa"/>
            <w:shd w:val="clear" w:color="auto" w:fill="DBE5F1"/>
          </w:tcPr>
          <w:p>
            <w:pPr>
              <w:pStyle w:val="TableParagraph"/>
              <w:spacing w:line="270" w:lineRule="atLeast" w:before="54"/>
              <w:ind w:left="742" w:right="67" w:hanging="648"/>
              <w:rPr>
                <w:sz w:val="24"/>
              </w:rPr>
            </w:pPr>
            <w:r>
              <w:rPr>
                <w:sz w:val="24"/>
              </w:rPr>
              <w:t>Contribuyend o</w:t>
            </w:r>
          </w:p>
        </w:tc>
      </w:tr>
      <w:tr>
        <w:trPr>
          <w:trHeight w:val="2265" w:hRule="atLeast"/>
        </w:trPr>
        <w:tc>
          <w:tcPr>
            <w:tcW w:w="1269" w:type="dxa"/>
          </w:tcPr>
          <w:p>
            <w:pPr>
              <w:pStyle w:val="TableParagraph"/>
              <w:spacing w:before="54"/>
              <w:ind w:left="9"/>
              <w:jc w:val="center"/>
              <w:rPr>
                <w:b/>
                <w:sz w:val="24"/>
              </w:rPr>
            </w:pPr>
            <w:r>
              <w:rPr>
                <w:b/>
                <w:sz w:val="24"/>
              </w:rPr>
              <w:t>7</w:t>
            </w:r>
          </w:p>
        </w:tc>
        <w:tc>
          <w:tcPr>
            <w:tcW w:w="2440" w:type="dxa"/>
          </w:tcPr>
          <w:p>
            <w:pPr>
              <w:pStyle w:val="TableParagraph"/>
              <w:spacing w:before="54"/>
              <w:ind w:left="58" w:right="181"/>
              <w:jc w:val="both"/>
              <w:rPr>
                <w:sz w:val="24"/>
              </w:rPr>
            </w:pPr>
            <w:r>
              <w:rPr>
                <w:sz w:val="24"/>
              </w:rPr>
              <w:t>7 Instrucción básica para Estudiantes del inglés</w:t>
            </w:r>
          </w:p>
        </w:tc>
        <w:tc>
          <w:tcPr>
            <w:tcW w:w="7626" w:type="dxa"/>
          </w:tcPr>
          <w:p>
            <w:pPr>
              <w:pStyle w:val="TableParagraph"/>
              <w:spacing w:before="54"/>
              <w:ind w:left="57" w:right="294"/>
              <w:rPr>
                <w:sz w:val="24"/>
              </w:rPr>
            </w:pPr>
            <w:r>
              <w:rPr>
                <w:sz w:val="24"/>
              </w:rPr>
              <w:t>Proporcionar una instrucción básica eficaz, tiempo de aprendizaje adicional, así como recursos que incluyan intervenciones, para garantizar que los Estudiantes del Inglés realicen el progreso esperado en el logro del inglés y el rendimiento académico en todas las materias académicas. La instrucción con el libro "Academic Vocabulary Toolkit" de Kate Kinsella se llevará a cabo diariamente.</w:t>
            </w:r>
          </w:p>
        </w:tc>
        <w:tc>
          <w:tcPr>
            <w:tcW w:w="2156" w:type="dxa"/>
          </w:tcPr>
          <w:p>
            <w:pPr>
              <w:pStyle w:val="TableParagraph"/>
              <w:rPr>
                <w:rFonts w:ascii="Times New Roman"/>
                <w:sz w:val="22"/>
              </w:rPr>
            </w:pPr>
          </w:p>
        </w:tc>
        <w:tc>
          <w:tcPr>
            <w:tcW w:w="1619" w:type="dxa"/>
          </w:tcPr>
          <w:p>
            <w:pPr>
              <w:pStyle w:val="TableParagraph"/>
              <w:rPr>
                <w:rFonts w:ascii="Times New Roman"/>
                <w:sz w:val="22"/>
              </w:rPr>
            </w:pPr>
          </w:p>
        </w:tc>
      </w:tr>
    </w:tbl>
    <w:p>
      <w:pPr>
        <w:pStyle w:val="BodyText"/>
        <w:spacing w:before="11"/>
        <w:rPr>
          <w:b/>
          <w:sz w:val="7"/>
        </w:rPr>
      </w:pPr>
    </w:p>
    <w:p>
      <w:pPr>
        <w:spacing w:before="88"/>
        <w:ind w:left="240" w:right="0" w:firstLine="0"/>
        <w:jc w:val="left"/>
        <w:rPr>
          <w:b/>
          <w:sz w:val="36"/>
        </w:rPr>
      </w:pPr>
      <w:bookmarkStart w:name="Análisis de Meta [2021-22]" w:id="16"/>
      <w:bookmarkEnd w:id="16"/>
      <w:r>
        <w:rPr/>
      </w:r>
      <w:hyperlink r:id="rId23">
        <w:r>
          <w:rPr>
            <w:b/>
            <w:sz w:val="36"/>
          </w:rPr>
          <w:t>Análisis de Meta [2021-22]</w:t>
        </w:r>
      </w:hyperlink>
    </w:p>
    <w:p>
      <w:pPr>
        <w:pStyle w:val="BodyText"/>
        <w:ind w:left="240"/>
      </w:pPr>
      <w:r>
        <w:rPr/>
        <w:t>Un análisis sobre como esta meta fue realizada en el previo año.</w:t>
      </w:r>
    </w:p>
    <w:p>
      <w:pPr>
        <w:pStyle w:val="BodyText"/>
        <w:tabs>
          <w:tab w:pos="15388" w:val="left" w:leader="none"/>
        </w:tabs>
        <w:ind w:left="240"/>
      </w:pPr>
      <w:r>
        <w:rPr/>
        <w:pict>
          <v:shape style="position:absolute;margin-left:18.5pt;margin-top:20.048878pt;width:755pt;height:21.9pt;mso-position-horizontal-relative:page;mso-position-vertical-relative:paragraph;z-index:-251635712;mso-wrap-distance-left:0;mso-wrap-distance-right:0" type="#_x0000_t202" filled="false" stroked="true" strokeweight="1pt" strokecolor="#8496b0">
            <v:textbox inset="0,0,0,0">
              <w:txbxContent>
                <w:p>
                  <w:pPr>
                    <w:pStyle w:val="BodyText"/>
                    <w:spacing w:before="58"/>
                    <w:ind w:left="48"/>
                  </w:pPr>
                  <w:r>
                    <w:rPr/>
                    <w:t>Análisis de las metas de 2021-22 se llevará a cabo durante el ciclo de actualización de 2022-23.</w:t>
                  </w:r>
                </w:p>
              </w:txbxContent>
            </v:textbox>
            <v:stroke dashstyle="solid"/>
            <w10:wrap type="topAndBottom"/>
          </v:shape>
        </w:pict>
      </w:r>
      <w:r>
        <w:rPr>
          <w:shd w:fill="DBE5F1" w:color="auto" w:val="clear"/>
        </w:rPr>
        <w:t>Una</w:t>
      </w:r>
      <w:r>
        <w:rPr>
          <w:spacing w:val="-4"/>
          <w:shd w:fill="DBE5F1" w:color="auto" w:val="clear"/>
        </w:rPr>
        <w:t> </w:t>
      </w:r>
      <w:r>
        <w:rPr>
          <w:shd w:fill="DBE5F1" w:color="auto" w:val="clear"/>
        </w:rPr>
        <w:t>descripción</w:t>
      </w:r>
      <w:r>
        <w:rPr>
          <w:spacing w:val="-3"/>
          <w:shd w:fill="DBE5F1" w:color="auto" w:val="clear"/>
        </w:rPr>
        <w:t> </w:t>
      </w:r>
      <w:r>
        <w:rPr>
          <w:shd w:fill="DBE5F1" w:color="auto" w:val="clear"/>
        </w:rPr>
        <w:t>de</w:t>
      </w:r>
      <w:r>
        <w:rPr>
          <w:spacing w:val="-4"/>
          <w:shd w:fill="DBE5F1" w:color="auto" w:val="clear"/>
        </w:rPr>
        <w:t> </w:t>
      </w:r>
      <w:r>
        <w:rPr>
          <w:shd w:fill="DBE5F1" w:color="auto" w:val="clear"/>
        </w:rPr>
        <w:t>cualquier</w:t>
      </w:r>
      <w:r>
        <w:rPr>
          <w:spacing w:val="-4"/>
          <w:shd w:fill="DBE5F1" w:color="auto" w:val="clear"/>
        </w:rPr>
        <w:t> </w:t>
      </w:r>
      <w:r>
        <w:rPr>
          <w:shd w:fill="DBE5F1" w:color="auto" w:val="clear"/>
        </w:rPr>
        <w:t>diferencia</w:t>
      </w:r>
      <w:r>
        <w:rPr>
          <w:spacing w:val="-4"/>
          <w:shd w:fill="DBE5F1" w:color="auto" w:val="clear"/>
        </w:rPr>
        <w:t> </w:t>
      </w:r>
      <w:r>
        <w:rPr>
          <w:shd w:fill="DBE5F1" w:color="auto" w:val="clear"/>
        </w:rPr>
        <w:t>significativa</w:t>
      </w:r>
      <w:r>
        <w:rPr>
          <w:spacing w:val="-4"/>
          <w:shd w:fill="DBE5F1" w:color="auto" w:val="clear"/>
        </w:rPr>
        <w:t> </w:t>
      </w:r>
      <w:r>
        <w:rPr>
          <w:shd w:fill="DBE5F1" w:color="auto" w:val="clear"/>
        </w:rPr>
        <w:t>en</w:t>
      </w:r>
      <w:r>
        <w:rPr>
          <w:spacing w:val="-4"/>
          <w:shd w:fill="DBE5F1" w:color="auto" w:val="clear"/>
        </w:rPr>
        <w:t> </w:t>
      </w:r>
      <w:r>
        <w:rPr>
          <w:shd w:fill="DBE5F1" w:color="auto" w:val="clear"/>
        </w:rPr>
        <w:t>acciones</w:t>
      </w:r>
      <w:r>
        <w:rPr>
          <w:spacing w:val="-3"/>
          <w:shd w:fill="DBE5F1" w:color="auto" w:val="clear"/>
        </w:rPr>
        <w:t> </w:t>
      </w:r>
      <w:r>
        <w:rPr>
          <w:shd w:fill="DBE5F1" w:color="auto" w:val="clear"/>
        </w:rPr>
        <w:t>planeadas</w:t>
      </w:r>
      <w:r>
        <w:rPr>
          <w:spacing w:val="-4"/>
          <w:shd w:fill="DBE5F1" w:color="auto" w:val="clear"/>
        </w:rPr>
        <w:t> </w:t>
      </w:r>
      <w:r>
        <w:rPr>
          <w:shd w:fill="DBE5F1" w:color="auto" w:val="clear"/>
        </w:rPr>
        <w:t>y</w:t>
      </w:r>
      <w:r>
        <w:rPr>
          <w:spacing w:val="-3"/>
          <w:shd w:fill="DBE5F1" w:color="auto" w:val="clear"/>
        </w:rPr>
        <w:t> </w:t>
      </w:r>
      <w:r>
        <w:rPr>
          <w:shd w:fill="DBE5F1" w:color="auto" w:val="clear"/>
        </w:rPr>
        <w:t>la</w:t>
      </w:r>
      <w:r>
        <w:rPr>
          <w:spacing w:val="-4"/>
          <w:shd w:fill="DBE5F1" w:color="auto" w:val="clear"/>
        </w:rPr>
        <w:t> </w:t>
      </w:r>
      <w:r>
        <w:rPr>
          <w:shd w:fill="DBE5F1" w:color="auto" w:val="clear"/>
        </w:rPr>
        <w:t>verdadera</w:t>
      </w:r>
      <w:r>
        <w:rPr>
          <w:spacing w:val="-4"/>
          <w:shd w:fill="DBE5F1" w:color="auto" w:val="clear"/>
        </w:rPr>
        <w:t> </w:t>
      </w:r>
      <w:r>
        <w:rPr>
          <w:shd w:fill="DBE5F1" w:color="auto" w:val="clear"/>
        </w:rPr>
        <w:t>implementación</w:t>
      </w:r>
      <w:r>
        <w:rPr>
          <w:spacing w:val="-5"/>
          <w:shd w:fill="DBE5F1" w:color="auto" w:val="clear"/>
        </w:rPr>
        <w:t> </w:t>
      </w:r>
      <w:r>
        <w:rPr>
          <w:shd w:fill="DBE5F1" w:color="auto" w:val="clear"/>
        </w:rPr>
        <w:t>de</w:t>
      </w:r>
      <w:r>
        <w:rPr>
          <w:spacing w:val="-3"/>
          <w:shd w:fill="DBE5F1" w:color="auto" w:val="clear"/>
        </w:rPr>
        <w:t> </w:t>
      </w:r>
      <w:r>
        <w:rPr>
          <w:shd w:fill="DBE5F1" w:color="auto" w:val="clear"/>
        </w:rPr>
        <w:t>estas</w:t>
      </w:r>
      <w:r>
        <w:rPr>
          <w:spacing w:val="-3"/>
          <w:shd w:fill="DBE5F1" w:color="auto" w:val="clear"/>
        </w:rPr>
        <w:t> </w:t>
      </w:r>
      <w:r>
        <w:rPr>
          <w:shd w:fill="DBE5F1" w:color="auto" w:val="clear"/>
        </w:rPr>
        <w:t>acciones.</w:t>
        <w:tab/>
      </w:r>
    </w:p>
    <w:p>
      <w:pPr>
        <w:pStyle w:val="BodyText"/>
        <w:spacing w:before="5"/>
        <w:rPr>
          <w:sz w:val="13"/>
        </w:rPr>
      </w:pPr>
    </w:p>
    <w:p>
      <w:pPr>
        <w:pStyle w:val="BodyText"/>
        <w:tabs>
          <w:tab w:pos="15388" w:val="left" w:leader="none"/>
        </w:tabs>
        <w:spacing w:before="92"/>
        <w:ind w:left="240"/>
      </w:pPr>
      <w:r>
        <w:rPr/>
        <w:pict>
          <v:shape style="position:absolute;margin-left:18.5pt;margin-top:24.648848pt;width:755pt;height:21.9pt;mso-position-horizontal-relative:page;mso-position-vertical-relative:paragraph;z-index:-251634688;mso-wrap-distance-left:0;mso-wrap-distance-right:0" type="#_x0000_t202" filled="false" stroked="true" strokeweight="1pt" strokecolor="#8496b0">
            <v:textbox inset="0,0,0,0">
              <w:txbxContent>
                <w:p>
                  <w:pPr>
                    <w:pStyle w:val="BodyText"/>
                    <w:spacing w:before="58"/>
                    <w:ind w:left="48"/>
                  </w:pPr>
                  <w:r>
                    <w:rPr/>
                    <w:t>Análisis de las metas de 2021-22 se llevará a cabo durante el ciclo de actualización de 2022-23.</w:t>
                  </w:r>
                </w:p>
              </w:txbxContent>
            </v:textbox>
            <v:stroke dashstyle="solid"/>
            <w10:wrap type="topAndBottom"/>
          </v:shape>
        </w:pict>
      </w:r>
      <w:r>
        <w:rPr>
          <w:shd w:fill="DBE5F1" w:color="auto" w:val="clear"/>
        </w:rPr>
        <w:t>Una explicación de las diferencias materiales entre los Gastos Presupuestados y Estimados Gastos</w:t>
      </w:r>
      <w:r>
        <w:rPr>
          <w:spacing w:val="-39"/>
          <w:shd w:fill="DBE5F1" w:color="auto" w:val="clear"/>
        </w:rPr>
        <w:t> </w:t>
      </w:r>
      <w:r>
        <w:rPr>
          <w:shd w:fill="DBE5F1" w:color="auto" w:val="clear"/>
        </w:rPr>
        <w:t>Reales.</w:t>
        <w:tab/>
      </w:r>
    </w:p>
    <w:p>
      <w:pPr>
        <w:pStyle w:val="BodyText"/>
        <w:spacing w:before="5"/>
        <w:rPr>
          <w:sz w:val="13"/>
        </w:rPr>
      </w:pPr>
    </w:p>
    <w:p>
      <w:pPr>
        <w:pStyle w:val="BodyText"/>
        <w:tabs>
          <w:tab w:pos="15388" w:val="left" w:leader="none"/>
        </w:tabs>
        <w:spacing w:before="92"/>
        <w:ind w:left="240"/>
      </w:pPr>
      <w:r>
        <w:rPr/>
        <w:pict>
          <v:shape style="position:absolute;margin-left:18.5pt;margin-top:24.648878pt;width:755pt;height:21.9pt;mso-position-horizontal-relative:page;mso-position-vertical-relative:paragraph;z-index:-251633664;mso-wrap-distance-left:0;mso-wrap-distance-right:0" type="#_x0000_t202" filled="false" stroked="true" strokeweight="1pt" strokecolor="#8496b0">
            <v:textbox inset="0,0,0,0">
              <w:txbxContent>
                <w:p>
                  <w:pPr>
                    <w:pStyle w:val="BodyText"/>
                    <w:spacing w:before="58"/>
                    <w:ind w:left="48"/>
                  </w:pPr>
                  <w:r>
                    <w:rPr/>
                    <w:t>Análisis de las metas de 2021-22 se llevará a cabo durante el ciclo de actualización de 2022-23.</w:t>
                  </w:r>
                </w:p>
              </w:txbxContent>
            </v:textbox>
            <v:stroke dashstyle="solid"/>
            <w10:wrap type="topAndBottom"/>
          </v:shape>
        </w:pict>
      </w:r>
      <w:r>
        <w:rPr/>
        <w:pict>
          <v:shape style="position:absolute;margin-left:16.549999pt;margin-top:60.847881pt;width:758.9pt;height:27.6pt;mso-position-horizontal-relative:page;mso-position-vertical-relative:paragraph;z-index:-251632640;mso-wrap-distance-left:0;mso-wrap-distance-right:0" type="#_x0000_t202" filled="true" fillcolor="#dbe5f1" stroked="false">
            <v:textbox inset="0,0,0,0">
              <w:txbxContent>
                <w:p>
                  <w:pPr>
                    <w:pStyle w:val="BodyText"/>
                    <w:ind w:left="29" w:right="773"/>
                  </w:pPr>
                  <w:r>
                    <w:rPr/>
                    <w:t>Una descripción sobre cualquier cambio hecho a la meta planeada, medidas, resultados deseados o acciones para el próximo año que resultó de reflexiones sobre previa práctica.</w:t>
                  </w:r>
                </w:p>
              </w:txbxContent>
            </v:textbox>
            <v:fill type="solid"/>
            <w10:wrap type="topAndBottom"/>
          </v:shape>
        </w:pict>
      </w:r>
      <w:r>
        <w:rPr/>
        <w:pict>
          <v:shape style="position:absolute;margin-left:18.5pt;margin-top:94.695877pt;width:755pt;height:21.9pt;mso-position-horizontal-relative:page;mso-position-vertical-relative:paragraph;z-index:-251631616;mso-wrap-distance-left:0;mso-wrap-distance-right:0" type="#_x0000_t202" filled="false" stroked="true" strokeweight="1pt" strokecolor="#8496b0">
            <v:textbox inset="0,0,0,0">
              <w:txbxContent>
                <w:p>
                  <w:pPr>
                    <w:pStyle w:val="BodyText"/>
                    <w:spacing w:before="58"/>
                    <w:ind w:left="48"/>
                  </w:pPr>
                  <w:r>
                    <w:rPr/>
                    <w:t>Análisis de las metas de 2021-22 se llevará a cabo durante el ciclo de actualización de 2022-23.</w:t>
                  </w:r>
                </w:p>
              </w:txbxContent>
            </v:textbox>
            <v:stroke dashstyle="solid"/>
            <w10:wrap type="topAndBottom"/>
          </v:shape>
        </w:pict>
      </w:r>
      <w:r>
        <w:rPr>
          <w:shd w:fill="DBE5F1" w:color="auto" w:val="clear"/>
        </w:rPr>
        <w:t>Una</w:t>
      </w:r>
      <w:r>
        <w:rPr>
          <w:spacing w:val="-4"/>
          <w:shd w:fill="DBE5F1" w:color="auto" w:val="clear"/>
        </w:rPr>
        <w:t> </w:t>
      </w:r>
      <w:r>
        <w:rPr>
          <w:shd w:fill="DBE5F1" w:color="auto" w:val="clear"/>
        </w:rPr>
        <w:t>explicación</w:t>
      </w:r>
      <w:r>
        <w:rPr>
          <w:spacing w:val="-4"/>
          <w:shd w:fill="DBE5F1" w:color="auto" w:val="clear"/>
        </w:rPr>
        <w:t> </w:t>
      </w:r>
      <w:r>
        <w:rPr>
          <w:shd w:fill="DBE5F1" w:color="auto" w:val="clear"/>
        </w:rPr>
        <w:t>sobre</w:t>
      </w:r>
      <w:r>
        <w:rPr>
          <w:spacing w:val="-3"/>
          <w:shd w:fill="DBE5F1" w:color="auto" w:val="clear"/>
        </w:rPr>
        <w:t> </w:t>
      </w:r>
      <w:r>
        <w:rPr>
          <w:shd w:fill="DBE5F1" w:color="auto" w:val="clear"/>
        </w:rPr>
        <w:t>qué</w:t>
      </w:r>
      <w:r>
        <w:rPr>
          <w:spacing w:val="-4"/>
          <w:shd w:fill="DBE5F1" w:color="auto" w:val="clear"/>
        </w:rPr>
        <w:t> </w:t>
      </w:r>
      <w:r>
        <w:rPr>
          <w:shd w:fill="DBE5F1" w:color="auto" w:val="clear"/>
        </w:rPr>
        <w:t>tan</w:t>
      </w:r>
      <w:r>
        <w:rPr>
          <w:spacing w:val="-4"/>
          <w:shd w:fill="DBE5F1" w:color="auto" w:val="clear"/>
        </w:rPr>
        <w:t> </w:t>
      </w:r>
      <w:r>
        <w:rPr>
          <w:shd w:fill="DBE5F1" w:color="auto" w:val="clear"/>
        </w:rPr>
        <w:t>efectivas</w:t>
      </w:r>
      <w:r>
        <w:rPr>
          <w:spacing w:val="-3"/>
          <w:shd w:fill="DBE5F1" w:color="auto" w:val="clear"/>
        </w:rPr>
        <w:t> </w:t>
      </w:r>
      <w:r>
        <w:rPr>
          <w:shd w:fill="DBE5F1" w:color="auto" w:val="clear"/>
        </w:rPr>
        <w:t>fueron</w:t>
      </w:r>
      <w:r>
        <w:rPr>
          <w:spacing w:val="-4"/>
          <w:shd w:fill="DBE5F1" w:color="auto" w:val="clear"/>
        </w:rPr>
        <w:t> </w:t>
      </w:r>
      <w:r>
        <w:rPr>
          <w:shd w:fill="DBE5F1" w:color="auto" w:val="clear"/>
        </w:rPr>
        <w:t>las</w:t>
      </w:r>
      <w:r>
        <w:rPr>
          <w:spacing w:val="-4"/>
          <w:shd w:fill="DBE5F1" w:color="auto" w:val="clear"/>
        </w:rPr>
        <w:t> </w:t>
      </w:r>
      <w:r>
        <w:rPr>
          <w:shd w:fill="DBE5F1" w:color="auto" w:val="clear"/>
        </w:rPr>
        <w:t>acciones</w:t>
      </w:r>
      <w:r>
        <w:rPr>
          <w:spacing w:val="-3"/>
          <w:shd w:fill="DBE5F1" w:color="auto" w:val="clear"/>
        </w:rPr>
        <w:t> </w:t>
      </w:r>
      <w:r>
        <w:rPr>
          <w:shd w:fill="DBE5F1" w:color="auto" w:val="clear"/>
        </w:rPr>
        <w:t>específicas</w:t>
      </w:r>
      <w:r>
        <w:rPr>
          <w:spacing w:val="-3"/>
          <w:shd w:fill="DBE5F1" w:color="auto" w:val="clear"/>
        </w:rPr>
        <w:t> </w:t>
      </w:r>
      <w:r>
        <w:rPr>
          <w:shd w:fill="DBE5F1" w:color="auto" w:val="clear"/>
        </w:rPr>
        <w:t>en</w:t>
      </w:r>
      <w:r>
        <w:rPr>
          <w:spacing w:val="-3"/>
          <w:shd w:fill="DBE5F1" w:color="auto" w:val="clear"/>
        </w:rPr>
        <w:t> </w:t>
      </w:r>
      <w:r>
        <w:rPr>
          <w:shd w:fill="DBE5F1" w:color="auto" w:val="clear"/>
        </w:rPr>
        <w:t>lograr</w:t>
      </w:r>
      <w:r>
        <w:rPr>
          <w:spacing w:val="-5"/>
          <w:shd w:fill="DBE5F1" w:color="auto" w:val="clear"/>
        </w:rPr>
        <w:t> </w:t>
      </w:r>
      <w:r>
        <w:rPr>
          <w:shd w:fill="DBE5F1" w:color="auto" w:val="clear"/>
        </w:rPr>
        <w:t>progreso</w:t>
      </w:r>
      <w:r>
        <w:rPr>
          <w:spacing w:val="-4"/>
          <w:shd w:fill="DBE5F1" w:color="auto" w:val="clear"/>
        </w:rPr>
        <w:t> </w:t>
      </w:r>
      <w:r>
        <w:rPr>
          <w:shd w:fill="DBE5F1" w:color="auto" w:val="clear"/>
        </w:rPr>
        <w:t>hacia</w:t>
      </w:r>
      <w:r>
        <w:rPr>
          <w:spacing w:val="-3"/>
          <w:shd w:fill="DBE5F1" w:color="auto" w:val="clear"/>
        </w:rPr>
        <w:t> </w:t>
      </w:r>
      <w:r>
        <w:rPr>
          <w:shd w:fill="DBE5F1" w:color="auto" w:val="clear"/>
        </w:rPr>
        <w:t>la</w:t>
      </w:r>
      <w:r>
        <w:rPr>
          <w:spacing w:val="-3"/>
          <w:shd w:fill="DBE5F1" w:color="auto" w:val="clear"/>
        </w:rPr>
        <w:t> </w:t>
      </w:r>
      <w:r>
        <w:rPr>
          <w:shd w:fill="DBE5F1" w:color="auto" w:val="clear"/>
        </w:rPr>
        <w:t>meta.</w:t>
        <w:tab/>
      </w:r>
    </w:p>
    <w:p>
      <w:pPr>
        <w:pStyle w:val="BodyText"/>
        <w:spacing w:before="4"/>
        <w:rPr>
          <w:sz w:val="19"/>
        </w:rPr>
      </w:pPr>
    </w:p>
    <w:p>
      <w:pPr>
        <w:pStyle w:val="BodyText"/>
        <w:spacing w:before="3"/>
        <w:rPr>
          <w:sz w:val="5"/>
        </w:rPr>
      </w:pPr>
    </w:p>
    <w:p>
      <w:pPr>
        <w:pStyle w:val="BodyText"/>
        <w:spacing w:before="5"/>
        <w:rPr>
          <w:sz w:val="13"/>
        </w:rPr>
      </w:pPr>
    </w:p>
    <w:p>
      <w:pPr>
        <w:spacing w:before="92"/>
        <w:ind w:left="240" w:right="495" w:firstLine="0"/>
        <w:jc w:val="left"/>
        <w:rPr>
          <w:b/>
          <w:sz w:val="24"/>
        </w:rPr>
      </w:pPr>
      <w:r>
        <w:rPr>
          <w:b/>
          <w:sz w:val="24"/>
        </w:rPr>
        <w:t>Un informe de los Estimados Gastos Verdaderos para las acciones del año pasado se puede encontrar en la Tabla de Gastos para Actualización Anual.</w:t>
      </w:r>
    </w:p>
    <w:p>
      <w:pPr>
        <w:spacing w:after="0"/>
        <w:jc w:val="left"/>
        <w:rPr>
          <w:sz w:val="24"/>
        </w:rPr>
        <w:sectPr>
          <w:pgSz w:w="15840" w:h="12240" w:orient="landscape"/>
          <w:pgMar w:header="0" w:footer="284" w:top="640" w:bottom="480" w:left="120" w:right="120"/>
        </w:sectPr>
      </w:pPr>
    </w:p>
    <w:p>
      <w:pPr>
        <w:pStyle w:val="BodyText"/>
        <w:rPr>
          <w:b/>
          <w:sz w:val="20"/>
        </w:rPr>
      </w:pPr>
    </w:p>
    <w:p>
      <w:pPr>
        <w:pStyle w:val="BodyText"/>
        <w:rPr>
          <w:b/>
          <w:sz w:val="20"/>
        </w:rPr>
      </w:pPr>
    </w:p>
    <w:p>
      <w:pPr>
        <w:pStyle w:val="BodyText"/>
        <w:spacing w:before="6"/>
        <w:rPr>
          <w:b/>
          <w:sz w:val="25"/>
        </w:rPr>
      </w:pPr>
    </w:p>
    <w:p>
      <w:pPr>
        <w:spacing w:before="88"/>
        <w:ind w:left="240" w:right="0" w:firstLine="0"/>
        <w:jc w:val="left"/>
        <w:rPr>
          <w:b/>
          <w:sz w:val="36"/>
        </w:rPr>
      </w:pPr>
      <w:r>
        <w:rPr/>
        <w:pict>
          <v:shape style="position:absolute;margin-left:11.425pt;margin-top:-37.77219pt;width:769.15pt;height:27.25pt;mso-position-horizontal-relative:page;mso-position-vertical-relative:paragraph;z-index:251687936" type="#_x0000_t202" filled="true" fillcolor="#dbe5f1" stroked="true" strokeweight="2.25pt" strokecolor="#000000">
            <v:textbox inset="0,0,0,0">
              <w:txbxContent>
                <w:p>
                  <w:pPr>
                    <w:spacing w:before="20"/>
                    <w:ind w:left="108" w:right="0" w:firstLine="0"/>
                    <w:jc w:val="left"/>
                    <w:rPr>
                      <w:b/>
                      <w:sz w:val="40"/>
                    </w:rPr>
                  </w:pPr>
                  <w:hyperlink r:id="rId18">
                    <w:r>
                      <w:rPr>
                        <w:b/>
                        <w:sz w:val="40"/>
                      </w:rPr>
                      <w:t>Metas y Acciones</w:t>
                    </w:r>
                  </w:hyperlink>
                </w:p>
              </w:txbxContent>
            </v:textbox>
            <v:fill type="solid"/>
            <v:stroke dashstyle="solid"/>
            <w10:wrap type="none"/>
          </v:shape>
        </w:pict>
      </w:r>
      <w:bookmarkStart w:name="Metas y Acciones" w:id="17"/>
      <w:bookmarkEnd w:id="17"/>
      <w:r>
        <w:rPr/>
      </w:r>
      <w:bookmarkStart w:name="Meta" w:id="18"/>
      <w:bookmarkEnd w:id="18"/>
      <w:r>
        <w:rPr/>
      </w:r>
      <w:hyperlink r:id="rId19">
        <w:r>
          <w:rPr>
            <w:b/>
            <w:sz w:val="36"/>
          </w:rPr>
          <w:t>Meta</w:t>
        </w:r>
      </w:hyperlink>
    </w:p>
    <w:p>
      <w:pPr>
        <w:pStyle w:val="BodyText"/>
        <w:rPr>
          <w:b/>
          <w:sz w:val="10"/>
        </w:rPr>
      </w:pPr>
    </w:p>
    <w:tbl>
      <w:tblPr>
        <w:tblW w:w="0" w:type="auto"/>
        <w:jc w:val="left"/>
        <w:tblInd w:w="250" w:type="dxa"/>
        <w:tblBorders>
          <w:top w:val="single" w:sz="4" w:space="0" w:color="8496B0"/>
          <w:left w:val="single" w:sz="4" w:space="0" w:color="8496B0"/>
          <w:bottom w:val="single" w:sz="4" w:space="0" w:color="8496B0"/>
          <w:right w:val="single" w:sz="4" w:space="0" w:color="8496B0"/>
          <w:insideH w:val="single" w:sz="4" w:space="0" w:color="8496B0"/>
          <w:insideV w:val="single" w:sz="4" w:space="0" w:color="8496B0"/>
        </w:tblBorders>
        <w:tblLayout w:type="fixed"/>
        <w:tblCellMar>
          <w:top w:w="0" w:type="dxa"/>
          <w:left w:w="0" w:type="dxa"/>
          <w:bottom w:w="0" w:type="dxa"/>
          <w:right w:w="0" w:type="dxa"/>
        </w:tblCellMar>
        <w:tblLook w:val="01E0"/>
      </w:tblPr>
      <w:tblGrid>
        <w:gridCol w:w="1985"/>
        <w:gridCol w:w="13125"/>
      </w:tblGrid>
      <w:tr>
        <w:trPr>
          <w:trHeight w:val="417" w:hRule="atLeast"/>
        </w:trPr>
        <w:tc>
          <w:tcPr>
            <w:tcW w:w="1985" w:type="dxa"/>
            <w:shd w:val="clear" w:color="auto" w:fill="DBE5F1"/>
          </w:tcPr>
          <w:p>
            <w:pPr>
              <w:pStyle w:val="TableParagraph"/>
              <w:spacing w:before="58"/>
              <w:ind w:left="598" w:right="589"/>
              <w:jc w:val="center"/>
              <w:rPr>
                <w:b/>
                <w:sz w:val="24"/>
              </w:rPr>
            </w:pPr>
            <w:r>
              <w:rPr>
                <w:b/>
                <w:sz w:val="24"/>
              </w:rPr>
              <w:t>Meta #</w:t>
            </w:r>
          </w:p>
        </w:tc>
        <w:tc>
          <w:tcPr>
            <w:tcW w:w="13125" w:type="dxa"/>
            <w:shd w:val="clear" w:color="auto" w:fill="DBE5F1"/>
          </w:tcPr>
          <w:p>
            <w:pPr>
              <w:pStyle w:val="TableParagraph"/>
              <w:spacing w:before="58"/>
              <w:ind w:left="58"/>
              <w:rPr>
                <w:b/>
                <w:sz w:val="24"/>
              </w:rPr>
            </w:pPr>
            <w:r>
              <w:rPr>
                <w:b/>
                <w:sz w:val="24"/>
              </w:rPr>
              <w:t>Descripción</w:t>
            </w:r>
          </w:p>
        </w:tc>
      </w:tr>
      <w:tr>
        <w:trPr>
          <w:trHeight w:val="1437" w:hRule="atLeast"/>
        </w:trPr>
        <w:tc>
          <w:tcPr>
            <w:tcW w:w="1985" w:type="dxa"/>
          </w:tcPr>
          <w:p>
            <w:pPr>
              <w:pStyle w:val="TableParagraph"/>
              <w:spacing w:before="58"/>
              <w:ind w:left="9"/>
              <w:jc w:val="center"/>
              <w:rPr>
                <w:b/>
                <w:sz w:val="24"/>
              </w:rPr>
            </w:pPr>
            <w:r>
              <w:rPr>
                <w:b/>
                <w:sz w:val="24"/>
              </w:rPr>
              <w:t>2</w:t>
            </w:r>
          </w:p>
        </w:tc>
        <w:tc>
          <w:tcPr>
            <w:tcW w:w="13125" w:type="dxa"/>
          </w:tcPr>
          <w:p>
            <w:pPr>
              <w:pStyle w:val="TableParagraph"/>
              <w:spacing w:before="58"/>
              <w:ind w:left="58" w:right="177"/>
              <w:rPr>
                <w:sz w:val="24"/>
              </w:rPr>
            </w:pPr>
            <w:r>
              <w:rPr>
                <w:sz w:val="24"/>
              </w:rPr>
              <w:t>A través del alcance comunitario, desarrollar y cultivar relaciones positivas entre el personal, los alumnos, los padres y la comunidad para crear un entorno seguro y acogedor que garantizará un entorno de aprendizaje exitoso para tos los alumnos.</w:t>
            </w:r>
          </w:p>
          <w:p>
            <w:pPr>
              <w:pStyle w:val="TableParagraph"/>
              <w:ind w:left="58"/>
              <w:rPr>
                <w:sz w:val="24"/>
              </w:rPr>
            </w:pPr>
            <w:r>
              <w:rPr>
                <w:sz w:val="24"/>
              </w:rPr>
              <w:t>Prioridades: 1, 3, 5, 6, 7</w:t>
            </w:r>
          </w:p>
        </w:tc>
      </w:tr>
    </w:tbl>
    <w:p>
      <w:pPr>
        <w:pStyle w:val="BodyText"/>
        <w:spacing w:before="10"/>
        <w:rPr>
          <w:b/>
          <w:sz w:val="7"/>
        </w:rPr>
      </w:pPr>
      <w:r>
        <w:rPr/>
        <w:pict>
          <v:shape style="position:absolute;margin-left:16.549999pt;margin-top:5.749992pt;width:758.9pt;height:13.8pt;mso-position-horizontal-relative:page;mso-position-vertical-relative:paragraph;z-index:-251630592;mso-wrap-distance-left:0;mso-wrap-distance-right:0" type="#_x0000_t202" filled="true" fillcolor="#dbe5f1" stroked="false">
            <v:textbox inset="0,0,0,0">
              <w:txbxContent>
                <w:p>
                  <w:pPr>
                    <w:pStyle w:val="BodyText"/>
                    <w:ind w:left="29"/>
                  </w:pPr>
                  <w:hyperlink r:id="rId20">
                    <w:r>
                      <w:rPr/>
                      <w:t>Una explicación sobre por qué el LEA ha desarrollado esta meta.</w:t>
                    </w:r>
                  </w:hyperlink>
                </w:p>
              </w:txbxContent>
            </v:textbox>
            <v:fill type="solid"/>
            <w10:wrap type="topAndBottom"/>
          </v:shape>
        </w:pict>
      </w:r>
    </w:p>
    <w:p>
      <w:pPr>
        <w:pStyle w:val="BodyText"/>
        <w:spacing w:before="8"/>
        <w:rPr>
          <w:b/>
          <w:sz w:val="2"/>
        </w:rPr>
      </w:pPr>
    </w:p>
    <w:p>
      <w:pPr>
        <w:pStyle w:val="BodyText"/>
        <w:ind w:left="240"/>
        <w:rPr>
          <w:sz w:val="20"/>
        </w:rPr>
      </w:pPr>
      <w:r>
        <w:rPr>
          <w:position w:val="0"/>
          <w:sz w:val="20"/>
        </w:rPr>
        <w:pict>
          <v:shape style="width:755pt;height:141.9pt;mso-position-horizontal-relative:char;mso-position-vertical-relative:line" type="#_x0000_t202" filled="false" stroked="true" strokeweight="1pt" strokecolor="#8496b0">
            <w10:anchorlock/>
            <v:textbox inset="0,0,0,0">
              <w:txbxContent>
                <w:p>
                  <w:pPr>
                    <w:pStyle w:val="BodyText"/>
                    <w:spacing w:before="58"/>
                    <w:ind w:left="48" w:right="96"/>
                  </w:pPr>
                  <w:r>
                    <w:rPr/>
                    <w:t>Con base en las sugerencias de los involucrados, los datos de evaluación y los datos recopilados durante el aprendizaje a distancia y la instrucción presencial, el Distrito Escolar Primario de Winship-Robbins (W-RESD, por sus siglas en inglés) ha determinado que la participación de los alumnos y los padres se supervise de cerca y aumente. El aprendizaje a distancia ha permitido a los alumnos que normalmente estarían ausentes asistir a clases virtualmente, sin embargo, esto ha causado que las relaciones entre los alumnos y el personal no sean tan sólidas como lo son durante la instrucción presencial y disminuye la participación de todos, especialmente de nuestros alumnos en riesgo académico. Cuando los alumnos asisten a clases presenciales, el personal puede monitorear su progreso académico y socioemocional. Las medidas de la Meta 2 agrupadas ayudarán a lograr la meta al garantizar que los alumnos estén en el aprendizaje presencial al reducir la tasa de ausencias de todos los alumnos independientemente de dónde residan, garantizar que los alumnos y los padres se sientan conectados con la escuela, proporcionar una instalación bien cuidada para garantizar la seguridad de los alumnos y aumentar la motivación de los alumnos para estar en la escuela todos los días.</w:t>
                  </w:r>
                </w:p>
              </w:txbxContent>
            </v:textbox>
            <v:stroke dashstyle="solid"/>
          </v:shape>
        </w:pict>
      </w:r>
      <w:r>
        <w:rPr>
          <w:position w:val="0"/>
          <w:sz w:val="20"/>
        </w:rPr>
      </w:r>
    </w:p>
    <w:p>
      <w:pPr>
        <w:spacing w:before="161"/>
        <w:ind w:left="240" w:right="0" w:firstLine="0"/>
        <w:jc w:val="left"/>
        <w:rPr>
          <w:b/>
          <w:sz w:val="36"/>
        </w:rPr>
      </w:pPr>
      <w:bookmarkStart w:name="Midiendo y Reportando Resultados" w:id="19"/>
      <w:bookmarkEnd w:id="19"/>
      <w:r>
        <w:rPr/>
      </w:r>
      <w:hyperlink r:id="rId21">
        <w:r>
          <w:rPr>
            <w:b/>
            <w:sz w:val="36"/>
          </w:rPr>
          <w:t>Midiendo y Reportando Resultados</w:t>
        </w:r>
      </w:hyperlink>
    </w:p>
    <w:p>
      <w:pPr>
        <w:pStyle w:val="BodyText"/>
        <w:rPr>
          <w:b/>
          <w:sz w:val="10"/>
        </w:rPr>
      </w:pPr>
    </w:p>
    <w:tbl>
      <w:tblPr>
        <w:tblW w:w="0" w:type="auto"/>
        <w:jc w:val="left"/>
        <w:tblInd w:w="250"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ayout w:type="fixed"/>
        <w:tblCellMar>
          <w:top w:w="0" w:type="dxa"/>
          <w:left w:w="0" w:type="dxa"/>
          <w:bottom w:w="0" w:type="dxa"/>
          <w:right w:w="0" w:type="dxa"/>
        </w:tblCellMar>
        <w:tblLook w:val="01E0"/>
      </w:tblPr>
      <w:tblGrid>
        <w:gridCol w:w="2518"/>
        <w:gridCol w:w="2518"/>
        <w:gridCol w:w="2519"/>
        <w:gridCol w:w="2518"/>
        <w:gridCol w:w="2518"/>
        <w:gridCol w:w="2519"/>
      </w:tblGrid>
      <w:tr>
        <w:trPr>
          <w:trHeight w:val="667" w:hRule="atLeast"/>
        </w:trPr>
        <w:tc>
          <w:tcPr>
            <w:tcW w:w="2518" w:type="dxa"/>
            <w:shd w:val="clear" w:color="auto" w:fill="DBE5F1"/>
          </w:tcPr>
          <w:p>
            <w:pPr>
              <w:pStyle w:val="TableParagraph"/>
              <w:spacing w:before="196"/>
              <w:ind w:left="845" w:right="835"/>
              <w:jc w:val="center"/>
              <w:rPr>
                <w:sz w:val="24"/>
              </w:rPr>
            </w:pPr>
            <w:r>
              <w:rPr>
                <w:sz w:val="24"/>
              </w:rPr>
              <w:t>Medida</w:t>
            </w:r>
          </w:p>
        </w:tc>
        <w:tc>
          <w:tcPr>
            <w:tcW w:w="2518" w:type="dxa"/>
            <w:shd w:val="clear" w:color="auto" w:fill="DBE5F1"/>
          </w:tcPr>
          <w:p>
            <w:pPr>
              <w:pStyle w:val="TableParagraph"/>
              <w:spacing w:before="196"/>
              <w:ind w:left="732"/>
              <w:rPr>
                <w:sz w:val="24"/>
              </w:rPr>
            </w:pPr>
            <w:r>
              <w:rPr>
                <w:sz w:val="24"/>
              </w:rPr>
              <w:t>Referente</w:t>
            </w:r>
          </w:p>
        </w:tc>
        <w:tc>
          <w:tcPr>
            <w:tcW w:w="2519" w:type="dxa"/>
            <w:shd w:val="clear" w:color="auto" w:fill="DBE5F1"/>
          </w:tcPr>
          <w:p>
            <w:pPr>
              <w:pStyle w:val="TableParagraph"/>
              <w:spacing w:before="196"/>
              <w:ind w:left="178"/>
              <w:rPr>
                <w:sz w:val="24"/>
              </w:rPr>
            </w:pPr>
            <w:r>
              <w:rPr>
                <w:sz w:val="24"/>
              </w:rPr>
              <w:t>Resultado del Año 1</w:t>
            </w:r>
          </w:p>
        </w:tc>
        <w:tc>
          <w:tcPr>
            <w:tcW w:w="2518" w:type="dxa"/>
            <w:shd w:val="clear" w:color="auto" w:fill="DBE5F1"/>
          </w:tcPr>
          <w:p>
            <w:pPr>
              <w:pStyle w:val="TableParagraph"/>
              <w:spacing w:before="196"/>
              <w:ind w:left="178"/>
              <w:rPr>
                <w:sz w:val="24"/>
              </w:rPr>
            </w:pPr>
            <w:r>
              <w:rPr>
                <w:sz w:val="24"/>
              </w:rPr>
              <w:t>Resultado del Año 2</w:t>
            </w:r>
          </w:p>
        </w:tc>
        <w:tc>
          <w:tcPr>
            <w:tcW w:w="2518" w:type="dxa"/>
            <w:shd w:val="clear" w:color="auto" w:fill="DBE5F1"/>
          </w:tcPr>
          <w:p>
            <w:pPr>
              <w:pStyle w:val="TableParagraph"/>
              <w:spacing w:before="196"/>
              <w:ind w:left="178"/>
              <w:rPr>
                <w:sz w:val="24"/>
              </w:rPr>
            </w:pPr>
            <w:r>
              <w:rPr>
                <w:sz w:val="24"/>
              </w:rPr>
              <w:t>Resultado del Año 3</w:t>
            </w:r>
          </w:p>
        </w:tc>
        <w:tc>
          <w:tcPr>
            <w:tcW w:w="2519" w:type="dxa"/>
            <w:shd w:val="clear" w:color="auto" w:fill="DBE5F1"/>
          </w:tcPr>
          <w:p>
            <w:pPr>
              <w:pStyle w:val="TableParagraph"/>
              <w:spacing w:before="58"/>
              <w:ind w:left="518" w:right="176" w:hanging="314"/>
              <w:rPr>
                <w:sz w:val="24"/>
              </w:rPr>
            </w:pPr>
            <w:r>
              <w:rPr>
                <w:sz w:val="24"/>
              </w:rPr>
              <w:t>Resultado Deseado para 2023–24</w:t>
            </w:r>
          </w:p>
        </w:tc>
      </w:tr>
      <w:tr>
        <w:trPr>
          <w:trHeight w:val="332" w:hRule="atLeast"/>
        </w:trPr>
        <w:tc>
          <w:tcPr>
            <w:tcW w:w="2518" w:type="dxa"/>
            <w:tcBorders>
              <w:bottom w:val="nil"/>
            </w:tcBorders>
          </w:tcPr>
          <w:p>
            <w:pPr>
              <w:pStyle w:val="TableParagraph"/>
              <w:spacing w:line="255" w:lineRule="exact" w:before="58"/>
              <w:ind w:left="58"/>
              <w:rPr>
                <w:sz w:val="24"/>
              </w:rPr>
            </w:pPr>
            <w:r>
              <w:rPr>
                <w:sz w:val="24"/>
              </w:rPr>
              <w:t>Fórmula de</w:t>
            </w:r>
          </w:p>
        </w:tc>
        <w:tc>
          <w:tcPr>
            <w:tcW w:w="2518" w:type="dxa"/>
            <w:tcBorders>
              <w:bottom w:val="nil"/>
            </w:tcBorders>
          </w:tcPr>
          <w:p>
            <w:pPr>
              <w:pStyle w:val="TableParagraph"/>
              <w:spacing w:line="255" w:lineRule="exact" w:before="58"/>
              <w:ind w:left="58"/>
              <w:rPr>
                <w:sz w:val="24"/>
              </w:rPr>
            </w:pPr>
            <w:r>
              <w:rPr>
                <w:sz w:val="24"/>
              </w:rPr>
              <w:t>Estado bueno o</w:t>
            </w:r>
          </w:p>
        </w:tc>
        <w:tc>
          <w:tcPr>
            <w:tcW w:w="2519" w:type="dxa"/>
            <w:vMerge w:val="restart"/>
          </w:tcPr>
          <w:p>
            <w:pPr>
              <w:pStyle w:val="TableParagraph"/>
              <w:rPr>
                <w:rFonts w:ascii="Times New Roman"/>
                <w:sz w:val="24"/>
              </w:rPr>
            </w:pPr>
          </w:p>
        </w:tc>
        <w:tc>
          <w:tcPr>
            <w:tcW w:w="2518" w:type="dxa"/>
            <w:vMerge w:val="restart"/>
          </w:tcPr>
          <w:p>
            <w:pPr>
              <w:pStyle w:val="TableParagraph"/>
              <w:rPr>
                <w:rFonts w:ascii="Times New Roman"/>
                <w:sz w:val="24"/>
              </w:rPr>
            </w:pPr>
          </w:p>
        </w:tc>
        <w:tc>
          <w:tcPr>
            <w:tcW w:w="2518" w:type="dxa"/>
            <w:vMerge w:val="restart"/>
          </w:tcPr>
          <w:p>
            <w:pPr>
              <w:pStyle w:val="TableParagraph"/>
              <w:rPr>
                <w:rFonts w:ascii="Times New Roman"/>
                <w:sz w:val="24"/>
              </w:rPr>
            </w:pPr>
          </w:p>
        </w:tc>
        <w:tc>
          <w:tcPr>
            <w:tcW w:w="2519" w:type="dxa"/>
            <w:tcBorders>
              <w:bottom w:val="nil"/>
            </w:tcBorders>
          </w:tcPr>
          <w:p>
            <w:pPr>
              <w:pStyle w:val="TableParagraph"/>
              <w:spacing w:line="255" w:lineRule="exact" w:before="58"/>
              <w:ind w:left="57"/>
              <w:rPr>
                <w:sz w:val="24"/>
              </w:rPr>
            </w:pPr>
            <w:r>
              <w:rPr>
                <w:sz w:val="24"/>
              </w:rPr>
              <w:t>Mantener un estado</w:t>
            </w:r>
          </w:p>
        </w:tc>
      </w:tr>
      <w:tr>
        <w:trPr>
          <w:trHeight w:val="265" w:hRule="atLeast"/>
        </w:trPr>
        <w:tc>
          <w:tcPr>
            <w:tcW w:w="2518" w:type="dxa"/>
            <w:tcBorders>
              <w:top w:val="nil"/>
              <w:bottom w:val="nil"/>
            </w:tcBorders>
          </w:tcPr>
          <w:p>
            <w:pPr>
              <w:pStyle w:val="TableParagraph"/>
              <w:spacing w:line="246" w:lineRule="exact"/>
              <w:ind w:left="58"/>
              <w:rPr>
                <w:sz w:val="24"/>
              </w:rPr>
            </w:pPr>
            <w:r>
              <w:rPr>
                <w:sz w:val="24"/>
              </w:rPr>
              <w:t>Financiamiento y</w:t>
            </w:r>
          </w:p>
        </w:tc>
        <w:tc>
          <w:tcPr>
            <w:tcW w:w="2518" w:type="dxa"/>
            <w:tcBorders>
              <w:top w:val="nil"/>
              <w:bottom w:val="nil"/>
            </w:tcBorders>
          </w:tcPr>
          <w:p>
            <w:pPr>
              <w:pStyle w:val="TableParagraph"/>
              <w:spacing w:line="246" w:lineRule="exact"/>
              <w:ind w:left="58"/>
              <w:rPr>
                <w:sz w:val="24"/>
              </w:rPr>
            </w:pPr>
            <w:r>
              <w:rPr>
                <w:sz w:val="24"/>
              </w:rPr>
              <w:t>ejemplar</w:t>
            </w:r>
          </w:p>
        </w:tc>
        <w:tc>
          <w:tcPr>
            <w:tcW w:w="2519" w:type="dxa"/>
            <w:vMerge/>
            <w:tcBorders>
              <w:top w:val="nil"/>
            </w:tcBorders>
          </w:tcPr>
          <w:p>
            <w:pPr>
              <w:rPr>
                <w:sz w:val="2"/>
                <w:szCs w:val="2"/>
              </w:rPr>
            </w:pPr>
          </w:p>
        </w:tc>
        <w:tc>
          <w:tcPr>
            <w:tcW w:w="2518" w:type="dxa"/>
            <w:vMerge/>
            <w:tcBorders>
              <w:top w:val="nil"/>
            </w:tcBorders>
          </w:tcPr>
          <w:p>
            <w:pPr>
              <w:rPr>
                <w:sz w:val="2"/>
                <w:szCs w:val="2"/>
              </w:rPr>
            </w:pPr>
          </w:p>
        </w:tc>
        <w:tc>
          <w:tcPr>
            <w:tcW w:w="2518" w:type="dxa"/>
            <w:vMerge/>
            <w:tcBorders>
              <w:top w:val="nil"/>
            </w:tcBorders>
          </w:tcPr>
          <w:p>
            <w:pPr>
              <w:rPr>
                <w:sz w:val="2"/>
                <w:szCs w:val="2"/>
              </w:rPr>
            </w:pPr>
          </w:p>
        </w:tc>
        <w:tc>
          <w:tcPr>
            <w:tcW w:w="2519" w:type="dxa"/>
            <w:tcBorders>
              <w:top w:val="nil"/>
              <w:bottom w:val="nil"/>
            </w:tcBorders>
          </w:tcPr>
          <w:p>
            <w:pPr>
              <w:pStyle w:val="TableParagraph"/>
              <w:spacing w:line="246" w:lineRule="exact"/>
              <w:ind w:left="57"/>
              <w:rPr>
                <w:sz w:val="24"/>
              </w:rPr>
            </w:pPr>
            <w:r>
              <w:rPr>
                <w:sz w:val="24"/>
              </w:rPr>
              <w:t>bueno o ejemplar</w:t>
            </w:r>
          </w:p>
        </w:tc>
      </w:tr>
      <w:tr>
        <w:trPr>
          <w:trHeight w:val="265" w:hRule="atLeast"/>
        </w:trPr>
        <w:tc>
          <w:tcPr>
            <w:tcW w:w="2518" w:type="dxa"/>
            <w:tcBorders>
              <w:top w:val="nil"/>
              <w:bottom w:val="nil"/>
            </w:tcBorders>
          </w:tcPr>
          <w:p>
            <w:pPr>
              <w:pStyle w:val="TableParagraph"/>
              <w:spacing w:line="246" w:lineRule="exact"/>
              <w:ind w:left="58"/>
              <w:rPr>
                <w:sz w:val="24"/>
              </w:rPr>
            </w:pPr>
            <w:r>
              <w:rPr>
                <w:sz w:val="24"/>
              </w:rPr>
              <w:t>Control Local (LCFF,</w:t>
            </w:r>
          </w:p>
        </w:tc>
        <w:tc>
          <w:tcPr>
            <w:tcW w:w="2518" w:type="dxa"/>
            <w:tcBorders>
              <w:top w:val="nil"/>
              <w:bottom w:val="nil"/>
            </w:tcBorders>
          </w:tcPr>
          <w:p>
            <w:pPr>
              <w:pStyle w:val="TableParagraph"/>
              <w:rPr>
                <w:rFonts w:ascii="Times New Roman"/>
                <w:sz w:val="18"/>
              </w:rPr>
            </w:pPr>
          </w:p>
        </w:tc>
        <w:tc>
          <w:tcPr>
            <w:tcW w:w="2519" w:type="dxa"/>
            <w:vMerge/>
            <w:tcBorders>
              <w:top w:val="nil"/>
            </w:tcBorders>
          </w:tcPr>
          <w:p>
            <w:pPr>
              <w:rPr>
                <w:sz w:val="2"/>
                <w:szCs w:val="2"/>
              </w:rPr>
            </w:pPr>
          </w:p>
        </w:tc>
        <w:tc>
          <w:tcPr>
            <w:tcW w:w="2518" w:type="dxa"/>
            <w:vMerge/>
            <w:tcBorders>
              <w:top w:val="nil"/>
            </w:tcBorders>
          </w:tcPr>
          <w:p>
            <w:pPr>
              <w:rPr>
                <w:sz w:val="2"/>
                <w:szCs w:val="2"/>
              </w:rPr>
            </w:pPr>
          </w:p>
        </w:tc>
        <w:tc>
          <w:tcPr>
            <w:tcW w:w="2518" w:type="dxa"/>
            <w:vMerge/>
            <w:tcBorders>
              <w:top w:val="nil"/>
            </w:tcBorders>
          </w:tcPr>
          <w:p>
            <w:pPr>
              <w:rPr>
                <w:sz w:val="2"/>
                <w:szCs w:val="2"/>
              </w:rPr>
            </w:pPr>
          </w:p>
        </w:tc>
        <w:tc>
          <w:tcPr>
            <w:tcW w:w="2519" w:type="dxa"/>
            <w:tcBorders>
              <w:top w:val="nil"/>
              <w:bottom w:val="nil"/>
            </w:tcBorders>
          </w:tcPr>
          <w:p>
            <w:pPr>
              <w:pStyle w:val="TableParagraph"/>
              <w:rPr>
                <w:rFonts w:ascii="Times New Roman"/>
                <w:sz w:val="18"/>
              </w:rPr>
            </w:pPr>
          </w:p>
        </w:tc>
      </w:tr>
      <w:tr>
        <w:trPr>
          <w:trHeight w:val="265" w:hRule="atLeast"/>
        </w:trPr>
        <w:tc>
          <w:tcPr>
            <w:tcW w:w="2518" w:type="dxa"/>
            <w:tcBorders>
              <w:top w:val="nil"/>
              <w:bottom w:val="nil"/>
            </w:tcBorders>
          </w:tcPr>
          <w:p>
            <w:pPr>
              <w:pStyle w:val="TableParagraph"/>
              <w:spacing w:line="246" w:lineRule="exact"/>
              <w:ind w:left="58"/>
              <w:rPr>
                <w:sz w:val="24"/>
              </w:rPr>
            </w:pPr>
            <w:r>
              <w:rPr>
                <w:sz w:val="24"/>
              </w:rPr>
              <w:t>por sus siglas en</w:t>
            </w:r>
          </w:p>
        </w:tc>
        <w:tc>
          <w:tcPr>
            <w:tcW w:w="2518" w:type="dxa"/>
            <w:tcBorders>
              <w:top w:val="nil"/>
              <w:bottom w:val="nil"/>
            </w:tcBorders>
          </w:tcPr>
          <w:p>
            <w:pPr>
              <w:pStyle w:val="TableParagraph"/>
              <w:rPr>
                <w:rFonts w:ascii="Times New Roman"/>
                <w:sz w:val="18"/>
              </w:rPr>
            </w:pPr>
          </w:p>
        </w:tc>
        <w:tc>
          <w:tcPr>
            <w:tcW w:w="2519" w:type="dxa"/>
            <w:vMerge/>
            <w:tcBorders>
              <w:top w:val="nil"/>
            </w:tcBorders>
          </w:tcPr>
          <w:p>
            <w:pPr>
              <w:rPr>
                <w:sz w:val="2"/>
                <w:szCs w:val="2"/>
              </w:rPr>
            </w:pPr>
          </w:p>
        </w:tc>
        <w:tc>
          <w:tcPr>
            <w:tcW w:w="2518" w:type="dxa"/>
            <w:vMerge/>
            <w:tcBorders>
              <w:top w:val="nil"/>
            </w:tcBorders>
          </w:tcPr>
          <w:p>
            <w:pPr>
              <w:rPr>
                <w:sz w:val="2"/>
                <w:szCs w:val="2"/>
              </w:rPr>
            </w:pPr>
          </w:p>
        </w:tc>
        <w:tc>
          <w:tcPr>
            <w:tcW w:w="2518" w:type="dxa"/>
            <w:vMerge/>
            <w:tcBorders>
              <w:top w:val="nil"/>
            </w:tcBorders>
          </w:tcPr>
          <w:p>
            <w:pPr>
              <w:rPr>
                <w:sz w:val="2"/>
                <w:szCs w:val="2"/>
              </w:rPr>
            </w:pPr>
          </w:p>
        </w:tc>
        <w:tc>
          <w:tcPr>
            <w:tcW w:w="2519" w:type="dxa"/>
            <w:tcBorders>
              <w:top w:val="nil"/>
              <w:bottom w:val="nil"/>
            </w:tcBorders>
          </w:tcPr>
          <w:p>
            <w:pPr>
              <w:pStyle w:val="TableParagraph"/>
              <w:rPr>
                <w:rFonts w:ascii="Times New Roman"/>
                <w:sz w:val="18"/>
              </w:rPr>
            </w:pPr>
          </w:p>
        </w:tc>
      </w:tr>
      <w:tr>
        <w:trPr>
          <w:trHeight w:val="265" w:hRule="atLeast"/>
        </w:trPr>
        <w:tc>
          <w:tcPr>
            <w:tcW w:w="2518" w:type="dxa"/>
            <w:tcBorders>
              <w:top w:val="nil"/>
              <w:bottom w:val="nil"/>
            </w:tcBorders>
          </w:tcPr>
          <w:p>
            <w:pPr>
              <w:pStyle w:val="TableParagraph"/>
              <w:spacing w:line="246" w:lineRule="exact"/>
              <w:ind w:left="58"/>
              <w:rPr>
                <w:sz w:val="24"/>
              </w:rPr>
            </w:pPr>
            <w:r>
              <w:rPr>
                <w:sz w:val="24"/>
              </w:rPr>
              <w:t>inglés) Prioridad 1c:</w:t>
            </w:r>
          </w:p>
        </w:tc>
        <w:tc>
          <w:tcPr>
            <w:tcW w:w="2518" w:type="dxa"/>
            <w:tcBorders>
              <w:top w:val="nil"/>
              <w:bottom w:val="nil"/>
            </w:tcBorders>
          </w:tcPr>
          <w:p>
            <w:pPr>
              <w:pStyle w:val="TableParagraph"/>
              <w:rPr>
                <w:rFonts w:ascii="Times New Roman"/>
                <w:sz w:val="18"/>
              </w:rPr>
            </w:pPr>
          </w:p>
        </w:tc>
        <w:tc>
          <w:tcPr>
            <w:tcW w:w="2519" w:type="dxa"/>
            <w:vMerge/>
            <w:tcBorders>
              <w:top w:val="nil"/>
            </w:tcBorders>
          </w:tcPr>
          <w:p>
            <w:pPr>
              <w:rPr>
                <w:sz w:val="2"/>
                <w:szCs w:val="2"/>
              </w:rPr>
            </w:pPr>
          </w:p>
        </w:tc>
        <w:tc>
          <w:tcPr>
            <w:tcW w:w="2518" w:type="dxa"/>
            <w:vMerge/>
            <w:tcBorders>
              <w:top w:val="nil"/>
            </w:tcBorders>
          </w:tcPr>
          <w:p>
            <w:pPr>
              <w:rPr>
                <w:sz w:val="2"/>
                <w:szCs w:val="2"/>
              </w:rPr>
            </w:pPr>
          </w:p>
        </w:tc>
        <w:tc>
          <w:tcPr>
            <w:tcW w:w="2518" w:type="dxa"/>
            <w:vMerge/>
            <w:tcBorders>
              <w:top w:val="nil"/>
            </w:tcBorders>
          </w:tcPr>
          <w:p>
            <w:pPr>
              <w:rPr>
                <w:sz w:val="2"/>
                <w:szCs w:val="2"/>
              </w:rPr>
            </w:pPr>
          </w:p>
        </w:tc>
        <w:tc>
          <w:tcPr>
            <w:tcW w:w="2519" w:type="dxa"/>
            <w:tcBorders>
              <w:top w:val="nil"/>
              <w:bottom w:val="nil"/>
            </w:tcBorders>
          </w:tcPr>
          <w:p>
            <w:pPr>
              <w:pStyle w:val="TableParagraph"/>
              <w:rPr>
                <w:rFonts w:ascii="Times New Roman"/>
                <w:sz w:val="18"/>
              </w:rPr>
            </w:pPr>
          </w:p>
        </w:tc>
      </w:tr>
      <w:tr>
        <w:trPr>
          <w:trHeight w:val="265" w:hRule="atLeast"/>
        </w:trPr>
        <w:tc>
          <w:tcPr>
            <w:tcW w:w="2518" w:type="dxa"/>
            <w:tcBorders>
              <w:top w:val="nil"/>
              <w:bottom w:val="nil"/>
            </w:tcBorders>
          </w:tcPr>
          <w:p>
            <w:pPr>
              <w:pStyle w:val="TableParagraph"/>
              <w:spacing w:line="246" w:lineRule="exact"/>
              <w:ind w:left="58"/>
              <w:rPr>
                <w:sz w:val="24"/>
              </w:rPr>
            </w:pPr>
            <w:r>
              <w:rPr>
                <w:sz w:val="24"/>
              </w:rPr>
              <w:t>Instalaciones</w:t>
            </w:r>
          </w:p>
        </w:tc>
        <w:tc>
          <w:tcPr>
            <w:tcW w:w="2518" w:type="dxa"/>
            <w:tcBorders>
              <w:top w:val="nil"/>
              <w:bottom w:val="nil"/>
            </w:tcBorders>
          </w:tcPr>
          <w:p>
            <w:pPr>
              <w:pStyle w:val="TableParagraph"/>
              <w:rPr>
                <w:rFonts w:ascii="Times New Roman"/>
                <w:sz w:val="18"/>
              </w:rPr>
            </w:pPr>
          </w:p>
        </w:tc>
        <w:tc>
          <w:tcPr>
            <w:tcW w:w="2519" w:type="dxa"/>
            <w:vMerge/>
            <w:tcBorders>
              <w:top w:val="nil"/>
            </w:tcBorders>
          </w:tcPr>
          <w:p>
            <w:pPr>
              <w:rPr>
                <w:sz w:val="2"/>
                <w:szCs w:val="2"/>
              </w:rPr>
            </w:pPr>
          </w:p>
        </w:tc>
        <w:tc>
          <w:tcPr>
            <w:tcW w:w="2518" w:type="dxa"/>
            <w:vMerge/>
            <w:tcBorders>
              <w:top w:val="nil"/>
            </w:tcBorders>
          </w:tcPr>
          <w:p>
            <w:pPr>
              <w:rPr>
                <w:sz w:val="2"/>
                <w:szCs w:val="2"/>
              </w:rPr>
            </w:pPr>
          </w:p>
        </w:tc>
        <w:tc>
          <w:tcPr>
            <w:tcW w:w="2518" w:type="dxa"/>
            <w:vMerge/>
            <w:tcBorders>
              <w:top w:val="nil"/>
            </w:tcBorders>
          </w:tcPr>
          <w:p>
            <w:pPr>
              <w:rPr>
                <w:sz w:val="2"/>
                <w:szCs w:val="2"/>
              </w:rPr>
            </w:pPr>
          </w:p>
        </w:tc>
        <w:tc>
          <w:tcPr>
            <w:tcW w:w="2519" w:type="dxa"/>
            <w:tcBorders>
              <w:top w:val="nil"/>
              <w:bottom w:val="nil"/>
            </w:tcBorders>
          </w:tcPr>
          <w:p>
            <w:pPr>
              <w:pStyle w:val="TableParagraph"/>
              <w:rPr>
                <w:rFonts w:ascii="Times New Roman"/>
                <w:sz w:val="18"/>
              </w:rPr>
            </w:pPr>
          </w:p>
        </w:tc>
      </w:tr>
      <w:tr>
        <w:trPr>
          <w:trHeight w:val="265" w:hRule="atLeast"/>
        </w:trPr>
        <w:tc>
          <w:tcPr>
            <w:tcW w:w="2518" w:type="dxa"/>
            <w:tcBorders>
              <w:top w:val="nil"/>
              <w:bottom w:val="nil"/>
            </w:tcBorders>
          </w:tcPr>
          <w:p>
            <w:pPr>
              <w:pStyle w:val="TableParagraph"/>
              <w:spacing w:line="246" w:lineRule="exact"/>
              <w:ind w:left="58"/>
              <w:rPr>
                <w:sz w:val="24"/>
              </w:rPr>
            </w:pPr>
            <w:r>
              <w:rPr>
                <w:sz w:val="24"/>
              </w:rPr>
              <w:t>mantenidas en bues</w:t>
            </w:r>
          </w:p>
        </w:tc>
        <w:tc>
          <w:tcPr>
            <w:tcW w:w="2518" w:type="dxa"/>
            <w:tcBorders>
              <w:top w:val="nil"/>
              <w:bottom w:val="nil"/>
            </w:tcBorders>
          </w:tcPr>
          <w:p>
            <w:pPr>
              <w:pStyle w:val="TableParagraph"/>
              <w:rPr>
                <w:rFonts w:ascii="Times New Roman"/>
                <w:sz w:val="18"/>
              </w:rPr>
            </w:pPr>
          </w:p>
        </w:tc>
        <w:tc>
          <w:tcPr>
            <w:tcW w:w="2519" w:type="dxa"/>
            <w:vMerge/>
            <w:tcBorders>
              <w:top w:val="nil"/>
            </w:tcBorders>
          </w:tcPr>
          <w:p>
            <w:pPr>
              <w:rPr>
                <w:sz w:val="2"/>
                <w:szCs w:val="2"/>
              </w:rPr>
            </w:pPr>
          </w:p>
        </w:tc>
        <w:tc>
          <w:tcPr>
            <w:tcW w:w="2518" w:type="dxa"/>
            <w:vMerge/>
            <w:tcBorders>
              <w:top w:val="nil"/>
            </w:tcBorders>
          </w:tcPr>
          <w:p>
            <w:pPr>
              <w:rPr>
                <w:sz w:val="2"/>
                <w:szCs w:val="2"/>
              </w:rPr>
            </w:pPr>
          </w:p>
        </w:tc>
        <w:tc>
          <w:tcPr>
            <w:tcW w:w="2518" w:type="dxa"/>
            <w:vMerge/>
            <w:tcBorders>
              <w:top w:val="nil"/>
            </w:tcBorders>
          </w:tcPr>
          <w:p>
            <w:pPr>
              <w:rPr>
                <w:sz w:val="2"/>
                <w:szCs w:val="2"/>
              </w:rPr>
            </w:pPr>
          </w:p>
        </w:tc>
        <w:tc>
          <w:tcPr>
            <w:tcW w:w="2519" w:type="dxa"/>
            <w:tcBorders>
              <w:top w:val="nil"/>
              <w:bottom w:val="nil"/>
            </w:tcBorders>
          </w:tcPr>
          <w:p>
            <w:pPr>
              <w:pStyle w:val="TableParagraph"/>
              <w:rPr>
                <w:rFonts w:ascii="Times New Roman"/>
                <w:sz w:val="18"/>
              </w:rPr>
            </w:pPr>
          </w:p>
        </w:tc>
      </w:tr>
      <w:tr>
        <w:trPr>
          <w:trHeight w:val="265" w:hRule="atLeast"/>
        </w:trPr>
        <w:tc>
          <w:tcPr>
            <w:tcW w:w="2518" w:type="dxa"/>
            <w:tcBorders>
              <w:top w:val="nil"/>
              <w:bottom w:val="nil"/>
            </w:tcBorders>
          </w:tcPr>
          <w:p>
            <w:pPr>
              <w:pStyle w:val="TableParagraph"/>
              <w:spacing w:line="246" w:lineRule="exact"/>
              <w:ind w:left="58"/>
              <w:rPr>
                <w:sz w:val="24"/>
              </w:rPr>
            </w:pPr>
            <w:r>
              <w:rPr>
                <w:sz w:val="24"/>
              </w:rPr>
              <w:t>estado.</w:t>
            </w:r>
          </w:p>
        </w:tc>
        <w:tc>
          <w:tcPr>
            <w:tcW w:w="2518" w:type="dxa"/>
            <w:tcBorders>
              <w:top w:val="nil"/>
              <w:bottom w:val="nil"/>
            </w:tcBorders>
          </w:tcPr>
          <w:p>
            <w:pPr>
              <w:pStyle w:val="TableParagraph"/>
              <w:rPr>
                <w:rFonts w:ascii="Times New Roman"/>
                <w:sz w:val="18"/>
              </w:rPr>
            </w:pPr>
          </w:p>
        </w:tc>
        <w:tc>
          <w:tcPr>
            <w:tcW w:w="2519" w:type="dxa"/>
            <w:vMerge/>
            <w:tcBorders>
              <w:top w:val="nil"/>
            </w:tcBorders>
          </w:tcPr>
          <w:p>
            <w:pPr>
              <w:rPr>
                <w:sz w:val="2"/>
                <w:szCs w:val="2"/>
              </w:rPr>
            </w:pPr>
          </w:p>
        </w:tc>
        <w:tc>
          <w:tcPr>
            <w:tcW w:w="2518" w:type="dxa"/>
            <w:vMerge/>
            <w:tcBorders>
              <w:top w:val="nil"/>
            </w:tcBorders>
          </w:tcPr>
          <w:p>
            <w:pPr>
              <w:rPr>
                <w:sz w:val="2"/>
                <w:szCs w:val="2"/>
              </w:rPr>
            </w:pPr>
          </w:p>
        </w:tc>
        <w:tc>
          <w:tcPr>
            <w:tcW w:w="2518" w:type="dxa"/>
            <w:vMerge/>
            <w:tcBorders>
              <w:top w:val="nil"/>
            </w:tcBorders>
          </w:tcPr>
          <w:p>
            <w:pPr>
              <w:rPr>
                <w:sz w:val="2"/>
                <w:szCs w:val="2"/>
              </w:rPr>
            </w:pPr>
          </w:p>
        </w:tc>
        <w:tc>
          <w:tcPr>
            <w:tcW w:w="2519" w:type="dxa"/>
            <w:tcBorders>
              <w:top w:val="nil"/>
              <w:bottom w:val="nil"/>
            </w:tcBorders>
          </w:tcPr>
          <w:p>
            <w:pPr>
              <w:pStyle w:val="TableParagraph"/>
              <w:rPr>
                <w:rFonts w:ascii="Times New Roman"/>
                <w:sz w:val="18"/>
              </w:rPr>
            </w:pPr>
          </w:p>
        </w:tc>
      </w:tr>
      <w:tr>
        <w:trPr>
          <w:trHeight w:val="265" w:hRule="atLeast"/>
        </w:trPr>
        <w:tc>
          <w:tcPr>
            <w:tcW w:w="2518" w:type="dxa"/>
            <w:tcBorders>
              <w:top w:val="nil"/>
              <w:bottom w:val="nil"/>
            </w:tcBorders>
          </w:tcPr>
          <w:p>
            <w:pPr>
              <w:pStyle w:val="TableParagraph"/>
              <w:spacing w:line="246" w:lineRule="exact"/>
              <w:ind w:left="58"/>
              <w:rPr>
                <w:sz w:val="24"/>
              </w:rPr>
            </w:pPr>
            <w:r>
              <w:rPr>
                <w:sz w:val="24"/>
              </w:rPr>
              <w:t>Fuente: Informe de la</w:t>
            </w:r>
          </w:p>
        </w:tc>
        <w:tc>
          <w:tcPr>
            <w:tcW w:w="2518" w:type="dxa"/>
            <w:tcBorders>
              <w:top w:val="nil"/>
              <w:bottom w:val="nil"/>
            </w:tcBorders>
          </w:tcPr>
          <w:p>
            <w:pPr>
              <w:pStyle w:val="TableParagraph"/>
              <w:rPr>
                <w:rFonts w:ascii="Times New Roman"/>
                <w:sz w:val="18"/>
              </w:rPr>
            </w:pPr>
          </w:p>
        </w:tc>
        <w:tc>
          <w:tcPr>
            <w:tcW w:w="2519" w:type="dxa"/>
            <w:vMerge/>
            <w:tcBorders>
              <w:top w:val="nil"/>
            </w:tcBorders>
          </w:tcPr>
          <w:p>
            <w:pPr>
              <w:rPr>
                <w:sz w:val="2"/>
                <w:szCs w:val="2"/>
              </w:rPr>
            </w:pPr>
          </w:p>
        </w:tc>
        <w:tc>
          <w:tcPr>
            <w:tcW w:w="2518" w:type="dxa"/>
            <w:vMerge/>
            <w:tcBorders>
              <w:top w:val="nil"/>
            </w:tcBorders>
          </w:tcPr>
          <w:p>
            <w:pPr>
              <w:rPr>
                <w:sz w:val="2"/>
                <w:szCs w:val="2"/>
              </w:rPr>
            </w:pPr>
          </w:p>
        </w:tc>
        <w:tc>
          <w:tcPr>
            <w:tcW w:w="2518" w:type="dxa"/>
            <w:vMerge/>
            <w:tcBorders>
              <w:top w:val="nil"/>
            </w:tcBorders>
          </w:tcPr>
          <w:p>
            <w:pPr>
              <w:rPr>
                <w:sz w:val="2"/>
                <w:szCs w:val="2"/>
              </w:rPr>
            </w:pPr>
          </w:p>
        </w:tc>
        <w:tc>
          <w:tcPr>
            <w:tcW w:w="2519" w:type="dxa"/>
            <w:tcBorders>
              <w:top w:val="nil"/>
              <w:bottom w:val="nil"/>
            </w:tcBorders>
          </w:tcPr>
          <w:p>
            <w:pPr>
              <w:pStyle w:val="TableParagraph"/>
              <w:rPr>
                <w:rFonts w:ascii="Times New Roman"/>
                <w:sz w:val="18"/>
              </w:rPr>
            </w:pPr>
          </w:p>
        </w:tc>
      </w:tr>
      <w:tr>
        <w:trPr>
          <w:trHeight w:val="325" w:hRule="atLeast"/>
        </w:trPr>
        <w:tc>
          <w:tcPr>
            <w:tcW w:w="2518" w:type="dxa"/>
            <w:tcBorders>
              <w:top w:val="nil"/>
            </w:tcBorders>
          </w:tcPr>
          <w:p>
            <w:pPr>
              <w:pStyle w:val="TableParagraph"/>
              <w:spacing w:line="267" w:lineRule="exact"/>
              <w:ind w:left="58"/>
              <w:rPr>
                <w:sz w:val="24"/>
              </w:rPr>
            </w:pPr>
            <w:r>
              <w:rPr>
                <w:sz w:val="24"/>
              </w:rPr>
              <w:t>Herramienta para</w:t>
            </w:r>
          </w:p>
        </w:tc>
        <w:tc>
          <w:tcPr>
            <w:tcW w:w="2518" w:type="dxa"/>
            <w:tcBorders>
              <w:top w:val="nil"/>
            </w:tcBorders>
          </w:tcPr>
          <w:p>
            <w:pPr>
              <w:pStyle w:val="TableParagraph"/>
              <w:rPr>
                <w:rFonts w:ascii="Times New Roman"/>
                <w:sz w:val="24"/>
              </w:rPr>
            </w:pPr>
          </w:p>
        </w:tc>
        <w:tc>
          <w:tcPr>
            <w:tcW w:w="2519" w:type="dxa"/>
            <w:vMerge/>
            <w:tcBorders>
              <w:top w:val="nil"/>
            </w:tcBorders>
          </w:tcPr>
          <w:p>
            <w:pPr>
              <w:rPr>
                <w:sz w:val="2"/>
                <w:szCs w:val="2"/>
              </w:rPr>
            </w:pPr>
          </w:p>
        </w:tc>
        <w:tc>
          <w:tcPr>
            <w:tcW w:w="2518" w:type="dxa"/>
            <w:vMerge/>
            <w:tcBorders>
              <w:top w:val="nil"/>
            </w:tcBorders>
          </w:tcPr>
          <w:p>
            <w:pPr>
              <w:rPr>
                <w:sz w:val="2"/>
                <w:szCs w:val="2"/>
              </w:rPr>
            </w:pPr>
          </w:p>
        </w:tc>
        <w:tc>
          <w:tcPr>
            <w:tcW w:w="2518" w:type="dxa"/>
            <w:vMerge/>
            <w:tcBorders>
              <w:top w:val="nil"/>
            </w:tcBorders>
          </w:tcPr>
          <w:p>
            <w:pPr>
              <w:rPr>
                <w:sz w:val="2"/>
                <w:szCs w:val="2"/>
              </w:rPr>
            </w:pPr>
          </w:p>
        </w:tc>
        <w:tc>
          <w:tcPr>
            <w:tcW w:w="2519" w:type="dxa"/>
            <w:tcBorders>
              <w:top w:val="nil"/>
            </w:tcBorders>
          </w:tcPr>
          <w:p>
            <w:pPr>
              <w:pStyle w:val="TableParagraph"/>
              <w:rPr>
                <w:rFonts w:ascii="Times New Roman"/>
                <w:sz w:val="24"/>
              </w:rPr>
            </w:pPr>
          </w:p>
        </w:tc>
      </w:tr>
    </w:tbl>
    <w:p>
      <w:pPr>
        <w:spacing w:after="0"/>
        <w:rPr>
          <w:rFonts w:ascii="Times New Roman"/>
          <w:sz w:val="24"/>
        </w:rPr>
        <w:sectPr>
          <w:pgSz w:w="15840" w:h="12240" w:orient="landscape"/>
          <w:pgMar w:header="0" w:footer="284" w:top="660" w:bottom="560" w:left="120" w:right="120"/>
        </w:sectPr>
      </w:pPr>
    </w:p>
    <w:tbl>
      <w:tblPr>
        <w:tblW w:w="0" w:type="auto"/>
        <w:jc w:val="left"/>
        <w:tblInd w:w="250"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ayout w:type="fixed"/>
        <w:tblCellMar>
          <w:top w:w="0" w:type="dxa"/>
          <w:left w:w="0" w:type="dxa"/>
          <w:bottom w:w="0" w:type="dxa"/>
          <w:right w:w="0" w:type="dxa"/>
        </w:tblCellMar>
        <w:tblLook w:val="01E0"/>
      </w:tblPr>
      <w:tblGrid>
        <w:gridCol w:w="2518"/>
        <w:gridCol w:w="2518"/>
        <w:gridCol w:w="2519"/>
        <w:gridCol w:w="2518"/>
        <w:gridCol w:w="2518"/>
        <w:gridCol w:w="2519"/>
      </w:tblGrid>
      <w:tr>
        <w:trPr>
          <w:trHeight w:val="667" w:hRule="atLeast"/>
        </w:trPr>
        <w:tc>
          <w:tcPr>
            <w:tcW w:w="2518" w:type="dxa"/>
            <w:shd w:val="clear" w:color="auto" w:fill="DBE5F1"/>
          </w:tcPr>
          <w:p>
            <w:pPr>
              <w:pStyle w:val="TableParagraph"/>
              <w:spacing w:before="192"/>
              <w:ind w:left="845" w:right="835"/>
              <w:jc w:val="center"/>
              <w:rPr>
                <w:sz w:val="24"/>
              </w:rPr>
            </w:pPr>
            <w:r>
              <w:rPr>
                <w:sz w:val="24"/>
              </w:rPr>
              <w:t>Medida</w:t>
            </w:r>
          </w:p>
        </w:tc>
        <w:tc>
          <w:tcPr>
            <w:tcW w:w="2518" w:type="dxa"/>
            <w:shd w:val="clear" w:color="auto" w:fill="DBE5F1"/>
          </w:tcPr>
          <w:p>
            <w:pPr>
              <w:pStyle w:val="TableParagraph"/>
              <w:spacing w:before="192"/>
              <w:ind w:left="732"/>
              <w:rPr>
                <w:sz w:val="24"/>
              </w:rPr>
            </w:pPr>
            <w:r>
              <w:rPr>
                <w:sz w:val="24"/>
              </w:rPr>
              <w:t>Referente</w:t>
            </w:r>
          </w:p>
        </w:tc>
        <w:tc>
          <w:tcPr>
            <w:tcW w:w="2519" w:type="dxa"/>
            <w:shd w:val="clear" w:color="auto" w:fill="DBE5F1"/>
          </w:tcPr>
          <w:p>
            <w:pPr>
              <w:pStyle w:val="TableParagraph"/>
              <w:spacing w:before="192"/>
              <w:ind w:left="178"/>
              <w:rPr>
                <w:sz w:val="24"/>
              </w:rPr>
            </w:pPr>
            <w:r>
              <w:rPr>
                <w:sz w:val="24"/>
              </w:rPr>
              <w:t>Resultado del Año 1</w:t>
            </w:r>
          </w:p>
        </w:tc>
        <w:tc>
          <w:tcPr>
            <w:tcW w:w="2518" w:type="dxa"/>
            <w:shd w:val="clear" w:color="auto" w:fill="DBE5F1"/>
          </w:tcPr>
          <w:p>
            <w:pPr>
              <w:pStyle w:val="TableParagraph"/>
              <w:spacing w:before="192"/>
              <w:ind w:left="178"/>
              <w:rPr>
                <w:sz w:val="24"/>
              </w:rPr>
            </w:pPr>
            <w:r>
              <w:rPr>
                <w:sz w:val="24"/>
              </w:rPr>
              <w:t>Resultado del Año 2</w:t>
            </w:r>
          </w:p>
        </w:tc>
        <w:tc>
          <w:tcPr>
            <w:tcW w:w="2518" w:type="dxa"/>
            <w:shd w:val="clear" w:color="auto" w:fill="DBE5F1"/>
          </w:tcPr>
          <w:p>
            <w:pPr>
              <w:pStyle w:val="TableParagraph"/>
              <w:spacing w:before="192"/>
              <w:ind w:left="178"/>
              <w:rPr>
                <w:sz w:val="24"/>
              </w:rPr>
            </w:pPr>
            <w:r>
              <w:rPr>
                <w:sz w:val="24"/>
              </w:rPr>
              <w:t>Resultado del Año 3</w:t>
            </w:r>
          </w:p>
        </w:tc>
        <w:tc>
          <w:tcPr>
            <w:tcW w:w="2519" w:type="dxa"/>
            <w:shd w:val="clear" w:color="auto" w:fill="DBE5F1"/>
          </w:tcPr>
          <w:p>
            <w:pPr>
              <w:pStyle w:val="TableParagraph"/>
              <w:spacing w:before="54"/>
              <w:ind w:left="518" w:right="176" w:hanging="314"/>
              <w:rPr>
                <w:sz w:val="24"/>
              </w:rPr>
            </w:pPr>
            <w:r>
              <w:rPr>
                <w:sz w:val="24"/>
              </w:rPr>
              <w:t>Resultado Deseado para 2023–24</w:t>
            </w:r>
          </w:p>
        </w:tc>
      </w:tr>
      <w:tr>
        <w:trPr>
          <w:trHeight w:val="1219" w:hRule="atLeast"/>
        </w:trPr>
        <w:tc>
          <w:tcPr>
            <w:tcW w:w="2518" w:type="dxa"/>
          </w:tcPr>
          <w:p>
            <w:pPr>
              <w:pStyle w:val="TableParagraph"/>
              <w:spacing w:before="54"/>
              <w:ind w:left="58" w:right="42"/>
              <w:rPr>
                <w:sz w:val="24"/>
              </w:rPr>
            </w:pPr>
            <w:r>
              <w:rPr>
                <w:sz w:val="24"/>
              </w:rPr>
              <w:t>Inspección de Instalaciones (FIT, por sus siglas en inglés)</w:t>
            </w:r>
          </w:p>
        </w:tc>
        <w:tc>
          <w:tcPr>
            <w:tcW w:w="2518" w:type="dxa"/>
          </w:tcPr>
          <w:p>
            <w:pPr>
              <w:pStyle w:val="TableParagraph"/>
              <w:rPr>
                <w:rFonts w:ascii="Times New Roman"/>
                <w:sz w:val="22"/>
              </w:rPr>
            </w:pPr>
          </w:p>
        </w:tc>
        <w:tc>
          <w:tcPr>
            <w:tcW w:w="2519" w:type="dxa"/>
          </w:tcPr>
          <w:p>
            <w:pPr>
              <w:pStyle w:val="TableParagraph"/>
              <w:rPr>
                <w:rFonts w:ascii="Times New Roman"/>
                <w:sz w:val="22"/>
              </w:rPr>
            </w:pPr>
          </w:p>
        </w:tc>
        <w:tc>
          <w:tcPr>
            <w:tcW w:w="2518" w:type="dxa"/>
          </w:tcPr>
          <w:p>
            <w:pPr>
              <w:pStyle w:val="TableParagraph"/>
              <w:rPr>
                <w:rFonts w:ascii="Times New Roman"/>
                <w:sz w:val="22"/>
              </w:rPr>
            </w:pPr>
          </w:p>
        </w:tc>
        <w:tc>
          <w:tcPr>
            <w:tcW w:w="2518" w:type="dxa"/>
          </w:tcPr>
          <w:p>
            <w:pPr>
              <w:pStyle w:val="TableParagraph"/>
              <w:rPr>
                <w:rFonts w:ascii="Times New Roman"/>
                <w:sz w:val="22"/>
              </w:rPr>
            </w:pPr>
          </w:p>
        </w:tc>
        <w:tc>
          <w:tcPr>
            <w:tcW w:w="2519" w:type="dxa"/>
          </w:tcPr>
          <w:p>
            <w:pPr>
              <w:pStyle w:val="TableParagraph"/>
              <w:rPr>
                <w:rFonts w:ascii="Times New Roman"/>
                <w:sz w:val="22"/>
              </w:rPr>
            </w:pPr>
          </w:p>
        </w:tc>
      </w:tr>
      <w:tr>
        <w:trPr>
          <w:trHeight w:val="1771" w:hRule="atLeast"/>
        </w:trPr>
        <w:tc>
          <w:tcPr>
            <w:tcW w:w="2518" w:type="dxa"/>
          </w:tcPr>
          <w:p>
            <w:pPr>
              <w:pStyle w:val="TableParagraph"/>
              <w:spacing w:before="54"/>
              <w:ind w:left="58" w:right="95"/>
              <w:rPr>
                <w:sz w:val="24"/>
              </w:rPr>
            </w:pPr>
            <w:r>
              <w:rPr>
                <w:sz w:val="24"/>
              </w:rPr>
              <w:t>Prioridad 5c: datos de la tasa de abandono escolar de la escuela secundaria</w:t>
            </w:r>
          </w:p>
          <w:p>
            <w:pPr>
              <w:pStyle w:val="TableParagraph"/>
              <w:ind w:left="58"/>
              <w:rPr>
                <w:sz w:val="24"/>
              </w:rPr>
            </w:pPr>
            <w:r>
              <w:rPr>
                <w:sz w:val="24"/>
              </w:rPr>
              <w:t>Fuente: Datos de P2</w:t>
            </w:r>
          </w:p>
        </w:tc>
        <w:tc>
          <w:tcPr>
            <w:tcW w:w="2518" w:type="dxa"/>
          </w:tcPr>
          <w:p>
            <w:pPr>
              <w:pStyle w:val="TableParagraph"/>
              <w:spacing w:before="54"/>
              <w:ind w:left="58"/>
              <w:rPr>
                <w:sz w:val="24"/>
              </w:rPr>
            </w:pPr>
            <w:r>
              <w:rPr>
                <w:sz w:val="24"/>
              </w:rPr>
              <w:t>0%</w:t>
            </w:r>
          </w:p>
        </w:tc>
        <w:tc>
          <w:tcPr>
            <w:tcW w:w="2519" w:type="dxa"/>
          </w:tcPr>
          <w:p>
            <w:pPr>
              <w:pStyle w:val="TableParagraph"/>
              <w:rPr>
                <w:rFonts w:ascii="Times New Roman"/>
                <w:sz w:val="22"/>
              </w:rPr>
            </w:pPr>
          </w:p>
        </w:tc>
        <w:tc>
          <w:tcPr>
            <w:tcW w:w="2518" w:type="dxa"/>
          </w:tcPr>
          <w:p>
            <w:pPr>
              <w:pStyle w:val="TableParagraph"/>
              <w:rPr>
                <w:rFonts w:ascii="Times New Roman"/>
                <w:sz w:val="22"/>
              </w:rPr>
            </w:pPr>
          </w:p>
        </w:tc>
        <w:tc>
          <w:tcPr>
            <w:tcW w:w="2518" w:type="dxa"/>
          </w:tcPr>
          <w:p>
            <w:pPr>
              <w:pStyle w:val="TableParagraph"/>
              <w:rPr>
                <w:rFonts w:ascii="Times New Roman"/>
                <w:sz w:val="22"/>
              </w:rPr>
            </w:pPr>
          </w:p>
        </w:tc>
        <w:tc>
          <w:tcPr>
            <w:tcW w:w="2519" w:type="dxa"/>
          </w:tcPr>
          <w:p>
            <w:pPr>
              <w:pStyle w:val="TableParagraph"/>
              <w:spacing w:before="54"/>
              <w:ind w:left="57"/>
              <w:rPr>
                <w:sz w:val="24"/>
              </w:rPr>
            </w:pPr>
            <w:r>
              <w:rPr>
                <w:sz w:val="24"/>
              </w:rPr>
              <w:t>Mantener 0%</w:t>
            </w:r>
          </w:p>
        </w:tc>
      </w:tr>
      <w:tr>
        <w:trPr>
          <w:trHeight w:val="1219" w:hRule="atLeast"/>
        </w:trPr>
        <w:tc>
          <w:tcPr>
            <w:tcW w:w="2518" w:type="dxa"/>
          </w:tcPr>
          <w:p>
            <w:pPr>
              <w:pStyle w:val="TableParagraph"/>
              <w:spacing w:before="54"/>
              <w:ind w:left="58" w:right="135"/>
              <w:rPr>
                <w:sz w:val="24"/>
              </w:rPr>
            </w:pPr>
            <w:r>
              <w:rPr>
                <w:sz w:val="24"/>
              </w:rPr>
              <w:t>Prioridad 5a: Tasa de asistencia</w:t>
            </w:r>
          </w:p>
          <w:p>
            <w:pPr>
              <w:pStyle w:val="TableParagraph"/>
              <w:ind w:left="58"/>
              <w:rPr>
                <w:sz w:val="24"/>
              </w:rPr>
            </w:pPr>
            <w:r>
              <w:rPr>
                <w:sz w:val="24"/>
              </w:rPr>
              <w:t>Fuente: Datos de P2</w:t>
            </w:r>
          </w:p>
        </w:tc>
        <w:tc>
          <w:tcPr>
            <w:tcW w:w="2518" w:type="dxa"/>
          </w:tcPr>
          <w:p>
            <w:pPr>
              <w:pStyle w:val="TableParagraph"/>
              <w:spacing w:before="54"/>
              <w:ind w:left="58"/>
              <w:rPr>
                <w:sz w:val="24"/>
              </w:rPr>
            </w:pPr>
            <w:r>
              <w:rPr>
                <w:sz w:val="24"/>
              </w:rPr>
              <w:t>94%</w:t>
            </w:r>
          </w:p>
        </w:tc>
        <w:tc>
          <w:tcPr>
            <w:tcW w:w="2519" w:type="dxa"/>
          </w:tcPr>
          <w:p>
            <w:pPr>
              <w:pStyle w:val="TableParagraph"/>
              <w:rPr>
                <w:rFonts w:ascii="Times New Roman"/>
                <w:sz w:val="22"/>
              </w:rPr>
            </w:pPr>
          </w:p>
        </w:tc>
        <w:tc>
          <w:tcPr>
            <w:tcW w:w="2518" w:type="dxa"/>
          </w:tcPr>
          <w:p>
            <w:pPr>
              <w:pStyle w:val="TableParagraph"/>
              <w:rPr>
                <w:rFonts w:ascii="Times New Roman"/>
                <w:sz w:val="22"/>
              </w:rPr>
            </w:pPr>
          </w:p>
        </w:tc>
        <w:tc>
          <w:tcPr>
            <w:tcW w:w="2518" w:type="dxa"/>
          </w:tcPr>
          <w:p>
            <w:pPr>
              <w:pStyle w:val="TableParagraph"/>
              <w:rPr>
                <w:rFonts w:ascii="Times New Roman"/>
                <w:sz w:val="22"/>
              </w:rPr>
            </w:pPr>
          </w:p>
        </w:tc>
        <w:tc>
          <w:tcPr>
            <w:tcW w:w="2519" w:type="dxa"/>
          </w:tcPr>
          <w:p>
            <w:pPr>
              <w:pStyle w:val="TableParagraph"/>
              <w:spacing w:before="54"/>
              <w:ind w:left="57"/>
              <w:rPr>
                <w:sz w:val="24"/>
              </w:rPr>
            </w:pPr>
            <w:r>
              <w:rPr>
                <w:sz w:val="24"/>
              </w:rPr>
              <w:t>Mantener 94%</w:t>
            </w:r>
          </w:p>
        </w:tc>
      </w:tr>
      <w:tr>
        <w:trPr>
          <w:trHeight w:val="2323" w:hRule="atLeast"/>
        </w:trPr>
        <w:tc>
          <w:tcPr>
            <w:tcW w:w="2518" w:type="dxa"/>
          </w:tcPr>
          <w:p>
            <w:pPr>
              <w:pStyle w:val="TableParagraph"/>
              <w:spacing w:before="54"/>
              <w:ind w:left="58" w:right="135"/>
              <w:rPr>
                <w:sz w:val="24"/>
              </w:rPr>
            </w:pPr>
            <w:r>
              <w:rPr>
                <w:sz w:val="24"/>
              </w:rPr>
              <w:t>Prioridad 5b: Tasa de ausentismo crónico Fuente: Interfaz de datos escolares de California - Indicador de Tasa de ausentismo crónico</w:t>
            </w:r>
          </w:p>
        </w:tc>
        <w:tc>
          <w:tcPr>
            <w:tcW w:w="2518" w:type="dxa"/>
          </w:tcPr>
          <w:p>
            <w:pPr>
              <w:pStyle w:val="TableParagraph"/>
              <w:spacing w:before="54"/>
              <w:ind w:left="58" w:right="295"/>
              <w:rPr>
                <w:sz w:val="24"/>
              </w:rPr>
            </w:pPr>
            <w:r>
              <w:rPr>
                <w:sz w:val="24"/>
              </w:rPr>
              <w:t>Interfaz de otoño de 2019</w:t>
            </w:r>
          </w:p>
          <w:p>
            <w:pPr>
              <w:pStyle w:val="TableParagraph"/>
              <w:ind w:left="58" w:right="161"/>
              <w:rPr>
                <w:sz w:val="24"/>
              </w:rPr>
            </w:pPr>
            <w:r>
              <w:rPr>
                <w:sz w:val="24"/>
              </w:rPr>
              <w:t>El 12.9% de alumnos identificados como ausentes crónicos</w:t>
            </w:r>
          </w:p>
        </w:tc>
        <w:tc>
          <w:tcPr>
            <w:tcW w:w="2519" w:type="dxa"/>
          </w:tcPr>
          <w:p>
            <w:pPr>
              <w:pStyle w:val="TableParagraph"/>
              <w:rPr>
                <w:rFonts w:ascii="Times New Roman"/>
                <w:sz w:val="22"/>
              </w:rPr>
            </w:pPr>
          </w:p>
        </w:tc>
        <w:tc>
          <w:tcPr>
            <w:tcW w:w="2518" w:type="dxa"/>
          </w:tcPr>
          <w:p>
            <w:pPr>
              <w:pStyle w:val="TableParagraph"/>
              <w:rPr>
                <w:rFonts w:ascii="Times New Roman"/>
                <w:sz w:val="22"/>
              </w:rPr>
            </w:pPr>
          </w:p>
        </w:tc>
        <w:tc>
          <w:tcPr>
            <w:tcW w:w="2518" w:type="dxa"/>
          </w:tcPr>
          <w:p>
            <w:pPr>
              <w:pStyle w:val="TableParagraph"/>
              <w:rPr>
                <w:rFonts w:ascii="Times New Roman"/>
                <w:sz w:val="22"/>
              </w:rPr>
            </w:pPr>
          </w:p>
        </w:tc>
        <w:tc>
          <w:tcPr>
            <w:tcW w:w="2519" w:type="dxa"/>
          </w:tcPr>
          <w:p>
            <w:pPr>
              <w:pStyle w:val="TableParagraph"/>
              <w:spacing w:before="54"/>
              <w:ind w:left="57" w:right="314"/>
              <w:jc w:val="both"/>
              <w:rPr>
                <w:sz w:val="24"/>
              </w:rPr>
            </w:pPr>
            <w:r>
              <w:rPr>
                <w:sz w:val="24"/>
              </w:rPr>
              <w:t>Interfaz de otoño de 2023</w:t>
            </w:r>
          </w:p>
          <w:p>
            <w:pPr>
              <w:pStyle w:val="TableParagraph"/>
              <w:ind w:left="57" w:right="461"/>
              <w:jc w:val="both"/>
              <w:rPr>
                <w:sz w:val="24"/>
              </w:rPr>
            </w:pPr>
            <w:r>
              <w:rPr>
                <w:sz w:val="24"/>
              </w:rPr>
              <w:t>El 5% de alumnos identificados como ausentes crónicos</w:t>
            </w:r>
          </w:p>
        </w:tc>
      </w:tr>
      <w:tr>
        <w:trPr>
          <w:trHeight w:val="1771" w:hRule="atLeast"/>
        </w:trPr>
        <w:tc>
          <w:tcPr>
            <w:tcW w:w="2518" w:type="dxa"/>
          </w:tcPr>
          <w:p>
            <w:pPr>
              <w:pStyle w:val="TableParagraph"/>
              <w:spacing w:before="54"/>
              <w:ind w:left="58" w:right="135"/>
              <w:rPr>
                <w:sz w:val="24"/>
              </w:rPr>
            </w:pPr>
            <w:r>
              <w:rPr>
                <w:sz w:val="24"/>
              </w:rPr>
              <w:t>Prioridad 6a: Tasa de suspensión escolar Fuente: Interfaz - Indicador de Tasa de suspensión escolar</w:t>
            </w:r>
          </w:p>
        </w:tc>
        <w:tc>
          <w:tcPr>
            <w:tcW w:w="2518" w:type="dxa"/>
          </w:tcPr>
          <w:p>
            <w:pPr>
              <w:pStyle w:val="TableParagraph"/>
              <w:spacing w:before="54"/>
              <w:ind w:left="58" w:right="295"/>
              <w:rPr>
                <w:sz w:val="24"/>
              </w:rPr>
            </w:pPr>
            <w:r>
              <w:rPr>
                <w:sz w:val="24"/>
              </w:rPr>
              <w:t>Interfaz de otoño de 2019</w:t>
            </w:r>
          </w:p>
          <w:p>
            <w:pPr>
              <w:pStyle w:val="TableParagraph"/>
              <w:ind w:left="58"/>
              <w:rPr>
                <w:sz w:val="24"/>
              </w:rPr>
            </w:pPr>
            <w:r>
              <w:rPr>
                <w:sz w:val="24"/>
              </w:rPr>
              <w:t>1%</w:t>
            </w:r>
          </w:p>
        </w:tc>
        <w:tc>
          <w:tcPr>
            <w:tcW w:w="2519" w:type="dxa"/>
          </w:tcPr>
          <w:p>
            <w:pPr>
              <w:pStyle w:val="TableParagraph"/>
              <w:rPr>
                <w:rFonts w:ascii="Times New Roman"/>
                <w:sz w:val="22"/>
              </w:rPr>
            </w:pPr>
          </w:p>
        </w:tc>
        <w:tc>
          <w:tcPr>
            <w:tcW w:w="2518" w:type="dxa"/>
          </w:tcPr>
          <w:p>
            <w:pPr>
              <w:pStyle w:val="TableParagraph"/>
              <w:rPr>
                <w:rFonts w:ascii="Times New Roman"/>
                <w:sz w:val="22"/>
              </w:rPr>
            </w:pPr>
          </w:p>
        </w:tc>
        <w:tc>
          <w:tcPr>
            <w:tcW w:w="2518" w:type="dxa"/>
          </w:tcPr>
          <w:p>
            <w:pPr>
              <w:pStyle w:val="TableParagraph"/>
              <w:rPr>
                <w:rFonts w:ascii="Times New Roman"/>
                <w:sz w:val="22"/>
              </w:rPr>
            </w:pPr>
          </w:p>
        </w:tc>
        <w:tc>
          <w:tcPr>
            <w:tcW w:w="2519" w:type="dxa"/>
          </w:tcPr>
          <w:p>
            <w:pPr>
              <w:pStyle w:val="TableParagraph"/>
              <w:spacing w:before="54"/>
              <w:ind w:left="57"/>
              <w:rPr>
                <w:sz w:val="24"/>
              </w:rPr>
            </w:pPr>
            <w:r>
              <w:rPr>
                <w:sz w:val="24"/>
              </w:rPr>
              <w:t>Mantener 1%</w:t>
            </w:r>
          </w:p>
        </w:tc>
      </w:tr>
      <w:tr>
        <w:trPr>
          <w:trHeight w:val="1495" w:hRule="atLeast"/>
        </w:trPr>
        <w:tc>
          <w:tcPr>
            <w:tcW w:w="2518" w:type="dxa"/>
          </w:tcPr>
          <w:p>
            <w:pPr>
              <w:pStyle w:val="TableParagraph"/>
              <w:spacing w:before="54"/>
              <w:ind w:left="58" w:right="135"/>
              <w:rPr>
                <w:sz w:val="24"/>
              </w:rPr>
            </w:pPr>
            <w:r>
              <w:rPr>
                <w:sz w:val="24"/>
              </w:rPr>
              <w:t>Prioridad 6b: Tasa de expulsión estudiantil Fuente: Sistema de Datos Longitudinales de Aprovechamiento</w:t>
            </w:r>
          </w:p>
        </w:tc>
        <w:tc>
          <w:tcPr>
            <w:tcW w:w="2518" w:type="dxa"/>
          </w:tcPr>
          <w:p>
            <w:pPr>
              <w:pStyle w:val="TableParagraph"/>
              <w:spacing w:before="54"/>
              <w:ind w:left="58"/>
              <w:rPr>
                <w:sz w:val="24"/>
              </w:rPr>
            </w:pPr>
            <w:r>
              <w:rPr>
                <w:sz w:val="24"/>
              </w:rPr>
              <w:t>0 alumnos</w:t>
            </w:r>
          </w:p>
        </w:tc>
        <w:tc>
          <w:tcPr>
            <w:tcW w:w="2519" w:type="dxa"/>
          </w:tcPr>
          <w:p>
            <w:pPr>
              <w:pStyle w:val="TableParagraph"/>
              <w:rPr>
                <w:rFonts w:ascii="Times New Roman"/>
                <w:sz w:val="22"/>
              </w:rPr>
            </w:pPr>
          </w:p>
        </w:tc>
        <w:tc>
          <w:tcPr>
            <w:tcW w:w="2518" w:type="dxa"/>
          </w:tcPr>
          <w:p>
            <w:pPr>
              <w:pStyle w:val="TableParagraph"/>
              <w:rPr>
                <w:rFonts w:ascii="Times New Roman"/>
                <w:sz w:val="22"/>
              </w:rPr>
            </w:pPr>
          </w:p>
        </w:tc>
        <w:tc>
          <w:tcPr>
            <w:tcW w:w="2518" w:type="dxa"/>
          </w:tcPr>
          <w:p>
            <w:pPr>
              <w:pStyle w:val="TableParagraph"/>
              <w:rPr>
                <w:rFonts w:ascii="Times New Roman"/>
                <w:sz w:val="22"/>
              </w:rPr>
            </w:pPr>
          </w:p>
        </w:tc>
        <w:tc>
          <w:tcPr>
            <w:tcW w:w="2519" w:type="dxa"/>
          </w:tcPr>
          <w:p>
            <w:pPr>
              <w:pStyle w:val="TableParagraph"/>
              <w:spacing w:before="54"/>
              <w:ind w:left="57"/>
              <w:rPr>
                <w:sz w:val="24"/>
              </w:rPr>
            </w:pPr>
            <w:r>
              <w:rPr>
                <w:sz w:val="24"/>
              </w:rPr>
              <w:t>Mantener 0 alumnos</w:t>
            </w:r>
          </w:p>
        </w:tc>
      </w:tr>
    </w:tbl>
    <w:p>
      <w:pPr>
        <w:spacing w:after="0"/>
        <w:rPr>
          <w:sz w:val="24"/>
        </w:rPr>
        <w:sectPr>
          <w:pgSz w:w="15840" w:h="12240" w:orient="landscape"/>
          <w:pgMar w:header="0" w:footer="284" w:top="640" w:bottom="480" w:left="120" w:right="120"/>
        </w:sectPr>
      </w:pPr>
    </w:p>
    <w:tbl>
      <w:tblPr>
        <w:tblW w:w="0" w:type="auto"/>
        <w:jc w:val="left"/>
        <w:tblInd w:w="250"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ayout w:type="fixed"/>
        <w:tblCellMar>
          <w:top w:w="0" w:type="dxa"/>
          <w:left w:w="0" w:type="dxa"/>
          <w:bottom w:w="0" w:type="dxa"/>
          <w:right w:w="0" w:type="dxa"/>
        </w:tblCellMar>
        <w:tblLook w:val="01E0"/>
      </w:tblPr>
      <w:tblGrid>
        <w:gridCol w:w="2518"/>
        <w:gridCol w:w="2518"/>
        <w:gridCol w:w="2519"/>
        <w:gridCol w:w="2518"/>
        <w:gridCol w:w="2518"/>
        <w:gridCol w:w="2519"/>
      </w:tblGrid>
      <w:tr>
        <w:trPr>
          <w:trHeight w:val="667" w:hRule="atLeast"/>
        </w:trPr>
        <w:tc>
          <w:tcPr>
            <w:tcW w:w="2518" w:type="dxa"/>
            <w:shd w:val="clear" w:color="auto" w:fill="DBE5F1"/>
          </w:tcPr>
          <w:p>
            <w:pPr>
              <w:pStyle w:val="TableParagraph"/>
              <w:spacing w:before="192"/>
              <w:ind w:left="845" w:right="835"/>
              <w:jc w:val="center"/>
              <w:rPr>
                <w:sz w:val="24"/>
              </w:rPr>
            </w:pPr>
            <w:r>
              <w:rPr>
                <w:sz w:val="24"/>
              </w:rPr>
              <w:t>Medida</w:t>
            </w:r>
          </w:p>
        </w:tc>
        <w:tc>
          <w:tcPr>
            <w:tcW w:w="2518" w:type="dxa"/>
            <w:shd w:val="clear" w:color="auto" w:fill="DBE5F1"/>
          </w:tcPr>
          <w:p>
            <w:pPr>
              <w:pStyle w:val="TableParagraph"/>
              <w:spacing w:before="192"/>
              <w:ind w:left="732"/>
              <w:rPr>
                <w:sz w:val="24"/>
              </w:rPr>
            </w:pPr>
            <w:r>
              <w:rPr>
                <w:sz w:val="24"/>
              </w:rPr>
              <w:t>Referente</w:t>
            </w:r>
          </w:p>
        </w:tc>
        <w:tc>
          <w:tcPr>
            <w:tcW w:w="2519" w:type="dxa"/>
            <w:shd w:val="clear" w:color="auto" w:fill="DBE5F1"/>
          </w:tcPr>
          <w:p>
            <w:pPr>
              <w:pStyle w:val="TableParagraph"/>
              <w:spacing w:before="192"/>
              <w:ind w:left="178"/>
              <w:rPr>
                <w:sz w:val="24"/>
              </w:rPr>
            </w:pPr>
            <w:r>
              <w:rPr>
                <w:sz w:val="24"/>
              </w:rPr>
              <w:t>Resultado del Año 1</w:t>
            </w:r>
          </w:p>
        </w:tc>
        <w:tc>
          <w:tcPr>
            <w:tcW w:w="2518" w:type="dxa"/>
            <w:shd w:val="clear" w:color="auto" w:fill="DBE5F1"/>
          </w:tcPr>
          <w:p>
            <w:pPr>
              <w:pStyle w:val="TableParagraph"/>
              <w:spacing w:before="192"/>
              <w:ind w:left="178"/>
              <w:rPr>
                <w:sz w:val="24"/>
              </w:rPr>
            </w:pPr>
            <w:r>
              <w:rPr>
                <w:sz w:val="24"/>
              </w:rPr>
              <w:t>Resultado del Año 2</w:t>
            </w:r>
          </w:p>
        </w:tc>
        <w:tc>
          <w:tcPr>
            <w:tcW w:w="2518" w:type="dxa"/>
            <w:shd w:val="clear" w:color="auto" w:fill="DBE5F1"/>
          </w:tcPr>
          <w:p>
            <w:pPr>
              <w:pStyle w:val="TableParagraph"/>
              <w:spacing w:before="192"/>
              <w:ind w:left="178"/>
              <w:rPr>
                <w:sz w:val="24"/>
              </w:rPr>
            </w:pPr>
            <w:r>
              <w:rPr>
                <w:sz w:val="24"/>
              </w:rPr>
              <w:t>Resultado del Año 3</w:t>
            </w:r>
          </w:p>
        </w:tc>
        <w:tc>
          <w:tcPr>
            <w:tcW w:w="2519" w:type="dxa"/>
            <w:shd w:val="clear" w:color="auto" w:fill="DBE5F1"/>
          </w:tcPr>
          <w:p>
            <w:pPr>
              <w:pStyle w:val="TableParagraph"/>
              <w:spacing w:before="54"/>
              <w:ind w:left="518" w:right="176" w:hanging="314"/>
              <w:rPr>
                <w:sz w:val="24"/>
              </w:rPr>
            </w:pPr>
            <w:r>
              <w:rPr>
                <w:sz w:val="24"/>
              </w:rPr>
              <w:t>Resultado Deseado para 2023–24</w:t>
            </w:r>
          </w:p>
        </w:tc>
      </w:tr>
      <w:tr>
        <w:trPr>
          <w:trHeight w:val="943" w:hRule="atLeast"/>
        </w:trPr>
        <w:tc>
          <w:tcPr>
            <w:tcW w:w="2518" w:type="dxa"/>
          </w:tcPr>
          <w:p>
            <w:pPr>
              <w:pStyle w:val="TableParagraph"/>
              <w:spacing w:before="54"/>
              <w:ind w:left="58" w:right="989"/>
              <w:rPr>
                <w:sz w:val="24"/>
              </w:rPr>
            </w:pPr>
            <w:r>
              <w:rPr>
                <w:sz w:val="24"/>
              </w:rPr>
              <w:t>Estudiantil de California</w:t>
            </w:r>
          </w:p>
        </w:tc>
        <w:tc>
          <w:tcPr>
            <w:tcW w:w="2518" w:type="dxa"/>
          </w:tcPr>
          <w:p>
            <w:pPr>
              <w:pStyle w:val="TableParagraph"/>
              <w:rPr>
                <w:rFonts w:ascii="Times New Roman"/>
                <w:sz w:val="22"/>
              </w:rPr>
            </w:pPr>
          </w:p>
        </w:tc>
        <w:tc>
          <w:tcPr>
            <w:tcW w:w="2519" w:type="dxa"/>
          </w:tcPr>
          <w:p>
            <w:pPr>
              <w:pStyle w:val="TableParagraph"/>
              <w:rPr>
                <w:rFonts w:ascii="Times New Roman"/>
                <w:sz w:val="22"/>
              </w:rPr>
            </w:pPr>
          </w:p>
        </w:tc>
        <w:tc>
          <w:tcPr>
            <w:tcW w:w="2518" w:type="dxa"/>
          </w:tcPr>
          <w:p>
            <w:pPr>
              <w:pStyle w:val="TableParagraph"/>
              <w:rPr>
                <w:rFonts w:ascii="Times New Roman"/>
                <w:sz w:val="22"/>
              </w:rPr>
            </w:pPr>
          </w:p>
        </w:tc>
        <w:tc>
          <w:tcPr>
            <w:tcW w:w="2518" w:type="dxa"/>
          </w:tcPr>
          <w:p>
            <w:pPr>
              <w:pStyle w:val="TableParagraph"/>
              <w:rPr>
                <w:rFonts w:ascii="Times New Roman"/>
                <w:sz w:val="22"/>
              </w:rPr>
            </w:pPr>
          </w:p>
        </w:tc>
        <w:tc>
          <w:tcPr>
            <w:tcW w:w="2519" w:type="dxa"/>
          </w:tcPr>
          <w:p>
            <w:pPr>
              <w:pStyle w:val="TableParagraph"/>
              <w:rPr>
                <w:rFonts w:ascii="Times New Roman"/>
                <w:sz w:val="22"/>
              </w:rPr>
            </w:pPr>
          </w:p>
        </w:tc>
      </w:tr>
      <w:tr>
        <w:trPr>
          <w:trHeight w:val="2678" w:hRule="atLeast"/>
        </w:trPr>
        <w:tc>
          <w:tcPr>
            <w:tcW w:w="2518" w:type="dxa"/>
            <w:tcBorders>
              <w:bottom w:val="nil"/>
            </w:tcBorders>
          </w:tcPr>
          <w:p>
            <w:pPr>
              <w:pStyle w:val="TableParagraph"/>
              <w:spacing w:before="54"/>
              <w:ind w:left="58" w:right="42"/>
              <w:rPr>
                <w:sz w:val="24"/>
              </w:rPr>
            </w:pPr>
            <w:r>
              <w:rPr>
                <w:sz w:val="24"/>
              </w:rPr>
              <w:t>Prioridad 6c: Otras medidas locales Fuente: Encuesta de los involucrados sobre la seguridad escolar y la conexión</w:t>
            </w:r>
          </w:p>
        </w:tc>
        <w:tc>
          <w:tcPr>
            <w:tcW w:w="2518" w:type="dxa"/>
            <w:tcBorders>
              <w:bottom w:val="nil"/>
            </w:tcBorders>
          </w:tcPr>
          <w:p>
            <w:pPr>
              <w:pStyle w:val="TableParagraph"/>
              <w:spacing w:before="54"/>
              <w:ind w:left="58" w:right="179"/>
              <w:jc w:val="both"/>
              <w:rPr>
                <w:sz w:val="24"/>
              </w:rPr>
            </w:pPr>
            <w:r>
              <w:rPr>
                <w:sz w:val="24"/>
              </w:rPr>
              <w:t>El 80% de los padres completa la encuesta de seguridad escolar</w:t>
            </w:r>
          </w:p>
          <w:p>
            <w:pPr>
              <w:pStyle w:val="TableParagraph"/>
              <w:spacing w:before="11"/>
              <w:rPr>
                <w:b/>
                <w:sz w:val="23"/>
              </w:rPr>
            </w:pPr>
          </w:p>
          <w:p>
            <w:pPr>
              <w:pStyle w:val="TableParagraph"/>
              <w:ind w:left="58" w:right="161"/>
              <w:rPr>
                <w:sz w:val="24"/>
              </w:rPr>
            </w:pPr>
            <w:r>
              <w:rPr>
                <w:sz w:val="24"/>
              </w:rPr>
              <w:t>Sentido de seguridad escolar</w:t>
            </w:r>
          </w:p>
          <w:p>
            <w:pPr>
              <w:pStyle w:val="TableParagraph"/>
              <w:ind w:left="58"/>
              <w:rPr>
                <w:sz w:val="24"/>
              </w:rPr>
            </w:pPr>
            <w:r>
              <w:rPr>
                <w:sz w:val="24"/>
              </w:rPr>
              <w:t>Padres: 60%</w:t>
            </w:r>
          </w:p>
          <w:p>
            <w:pPr>
              <w:pStyle w:val="TableParagraph"/>
              <w:ind w:left="58"/>
              <w:rPr>
                <w:sz w:val="24"/>
              </w:rPr>
            </w:pPr>
            <w:r>
              <w:rPr>
                <w:sz w:val="24"/>
              </w:rPr>
              <w:t>Personal: 100%</w:t>
            </w:r>
          </w:p>
          <w:p>
            <w:pPr>
              <w:pStyle w:val="TableParagraph"/>
              <w:ind w:left="58"/>
              <w:rPr>
                <w:sz w:val="24"/>
              </w:rPr>
            </w:pPr>
            <w:r>
              <w:rPr>
                <w:sz w:val="24"/>
              </w:rPr>
              <w:t>Alumnos: 72%</w:t>
            </w:r>
          </w:p>
        </w:tc>
        <w:tc>
          <w:tcPr>
            <w:tcW w:w="2519" w:type="dxa"/>
            <w:vMerge w:val="restart"/>
          </w:tcPr>
          <w:p>
            <w:pPr>
              <w:pStyle w:val="TableParagraph"/>
              <w:rPr>
                <w:rFonts w:ascii="Times New Roman"/>
                <w:sz w:val="22"/>
              </w:rPr>
            </w:pPr>
          </w:p>
        </w:tc>
        <w:tc>
          <w:tcPr>
            <w:tcW w:w="2518" w:type="dxa"/>
            <w:vMerge w:val="restart"/>
          </w:tcPr>
          <w:p>
            <w:pPr>
              <w:pStyle w:val="TableParagraph"/>
              <w:rPr>
                <w:rFonts w:ascii="Times New Roman"/>
                <w:sz w:val="22"/>
              </w:rPr>
            </w:pPr>
          </w:p>
        </w:tc>
        <w:tc>
          <w:tcPr>
            <w:tcW w:w="2518" w:type="dxa"/>
            <w:vMerge w:val="restart"/>
          </w:tcPr>
          <w:p>
            <w:pPr>
              <w:pStyle w:val="TableParagraph"/>
              <w:rPr>
                <w:rFonts w:ascii="Times New Roman"/>
                <w:sz w:val="22"/>
              </w:rPr>
            </w:pPr>
          </w:p>
        </w:tc>
        <w:tc>
          <w:tcPr>
            <w:tcW w:w="2519" w:type="dxa"/>
            <w:tcBorders>
              <w:bottom w:val="nil"/>
            </w:tcBorders>
          </w:tcPr>
          <w:p>
            <w:pPr>
              <w:pStyle w:val="TableParagraph"/>
              <w:spacing w:before="54"/>
              <w:ind w:left="57" w:right="180"/>
              <w:jc w:val="both"/>
              <w:rPr>
                <w:sz w:val="24"/>
              </w:rPr>
            </w:pPr>
            <w:r>
              <w:rPr>
                <w:sz w:val="24"/>
              </w:rPr>
              <w:t>El 90% de los padres completa la encuesta de seguridad escolar</w:t>
            </w:r>
          </w:p>
          <w:p>
            <w:pPr>
              <w:pStyle w:val="TableParagraph"/>
              <w:spacing w:before="11"/>
              <w:rPr>
                <w:b/>
                <w:sz w:val="23"/>
              </w:rPr>
            </w:pPr>
          </w:p>
          <w:p>
            <w:pPr>
              <w:pStyle w:val="TableParagraph"/>
              <w:ind w:left="57" w:right="163"/>
              <w:rPr>
                <w:sz w:val="24"/>
              </w:rPr>
            </w:pPr>
            <w:r>
              <w:rPr>
                <w:sz w:val="24"/>
              </w:rPr>
              <w:t>Sentido de seguridad escolar</w:t>
            </w:r>
          </w:p>
          <w:p>
            <w:pPr>
              <w:pStyle w:val="TableParagraph"/>
              <w:ind w:left="57"/>
              <w:rPr>
                <w:sz w:val="24"/>
              </w:rPr>
            </w:pPr>
            <w:r>
              <w:rPr>
                <w:sz w:val="24"/>
              </w:rPr>
              <w:t>Padres: 92%</w:t>
            </w:r>
          </w:p>
          <w:p>
            <w:pPr>
              <w:pStyle w:val="TableParagraph"/>
              <w:ind w:left="57"/>
              <w:rPr>
                <w:sz w:val="24"/>
              </w:rPr>
            </w:pPr>
            <w:r>
              <w:rPr>
                <w:sz w:val="24"/>
              </w:rPr>
              <w:t>Personal: 100%</w:t>
            </w:r>
          </w:p>
          <w:p>
            <w:pPr>
              <w:pStyle w:val="TableParagraph"/>
              <w:ind w:left="57"/>
              <w:rPr>
                <w:sz w:val="24"/>
              </w:rPr>
            </w:pPr>
            <w:r>
              <w:rPr>
                <w:sz w:val="24"/>
              </w:rPr>
              <w:t>Alumnos: 74%</w:t>
            </w:r>
          </w:p>
        </w:tc>
      </w:tr>
      <w:tr>
        <w:trPr>
          <w:trHeight w:val="1842" w:hRule="atLeast"/>
        </w:trPr>
        <w:tc>
          <w:tcPr>
            <w:tcW w:w="2518" w:type="dxa"/>
            <w:tcBorders>
              <w:top w:val="nil"/>
            </w:tcBorders>
          </w:tcPr>
          <w:p>
            <w:pPr>
              <w:pStyle w:val="TableParagraph"/>
              <w:rPr>
                <w:rFonts w:ascii="Times New Roman"/>
                <w:sz w:val="22"/>
              </w:rPr>
            </w:pPr>
          </w:p>
        </w:tc>
        <w:tc>
          <w:tcPr>
            <w:tcW w:w="2518" w:type="dxa"/>
            <w:tcBorders>
              <w:top w:val="nil"/>
            </w:tcBorders>
          </w:tcPr>
          <w:p>
            <w:pPr>
              <w:pStyle w:val="TableParagraph"/>
              <w:spacing w:before="125"/>
              <w:ind w:left="58" w:right="255"/>
              <w:rPr>
                <w:sz w:val="24"/>
              </w:rPr>
            </w:pPr>
            <w:r>
              <w:rPr>
                <w:sz w:val="24"/>
              </w:rPr>
              <w:t>Sentido de conexión escolar</w:t>
            </w:r>
          </w:p>
          <w:p>
            <w:pPr>
              <w:pStyle w:val="TableParagraph"/>
              <w:ind w:left="58"/>
              <w:rPr>
                <w:sz w:val="24"/>
              </w:rPr>
            </w:pPr>
            <w:r>
              <w:rPr>
                <w:sz w:val="24"/>
              </w:rPr>
              <w:t>Padres: 75%</w:t>
            </w:r>
          </w:p>
          <w:p>
            <w:pPr>
              <w:pStyle w:val="TableParagraph"/>
              <w:ind w:left="58"/>
              <w:rPr>
                <w:sz w:val="24"/>
              </w:rPr>
            </w:pPr>
            <w:r>
              <w:rPr>
                <w:sz w:val="24"/>
              </w:rPr>
              <w:t>Personal: 100%</w:t>
            </w:r>
          </w:p>
          <w:p>
            <w:pPr>
              <w:pStyle w:val="TableParagraph"/>
              <w:ind w:left="58"/>
              <w:rPr>
                <w:sz w:val="24"/>
              </w:rPr>
            </w:pPr>
            <w:r>
              <w:rPr>
                <w:sz w:val="24"/>
              </w:rPr>
              <w:t>Alumnos: 74%</w:t>
            </w:r>
          </w:p>
        </w:tc>
        <w:tc>
          <w:tcPr>
            <w:tcW w:w="2519" w:type="dxa"/>
            <w:vMerge/>
            <w:tcBorders>
              <w:top w:val="nil"/>
            </w:tcBorders>
          </w:tcPr>
          <w:p>
            <w:pPr>
              <w:rPr>
                <w:sz w:val="2"/>
                <w:szCs w:val="2"/>
              </w:rPr>
            </w:pPr>
          </w:p>
        </w:tc>
        <w:tc>
          <w:tcPr>
            <w:tcW w:w="2518" w:type="dxa"/>
            <w:vMerge/>
            <w:tcBorders>
              <w:top w:val="nil"/>
            </w:tcBorders>
          </w:tcPr>
          <w:p>
            <w:pPr>
              <w:rPr>
                <w:sz w:val="2"/>
                <w:szCs w:val="2"/>
              </w:rPr>
            </w:pPr>
          </w:p>
        </w:tc>
        <w:tc>
          <w:tcPr>
            <w:tcW w:w="2518" w:type="dxa"/>
            <w:vMerge/>
            <w:tcBorders>
              <w:top w:val="nil"/>
            </w:tcBorders>
          </w:tcPr>
          <w:p>
            <w:pPr>
              <w:rPr>
                <w:sz w:val="2"/>
                <w:szCs w:val="2"/>
              </w:rPr>
            </w:pPr>
          </w:p>
        </w:tc>
        <w:tc>
          <w:tcPr>
            <w:tcW w:w="2519" w:type="dxa"/>
            <w:tcBorders>
              <w:top w:val="nil"/>
            </w:tcBorders>
          </w:tcPr>
          <w:p>
            <w:pPr>
              <w:pStyle w:val="TableParagraph"/>
              <w:spacing w:before="125"/>
              <w:ind w:left="57" w:right="257"/>
              <w:rPr>
                <w:sz w:val="24"/>
              </w:rPr>
            </w:pPr>
            <w:r>
              <w:rPr>
                <w:sz w:val="24"/>
              </w:rPr>
              <w:t>Sentido de conexión escolar</w:t>
            </w:r>
          </w:p>
          <w:p>
            <w:pPr>
              <w:pStyle w:val="TableParagraph"/>
              <w:ind w:left="57"/>
              <w:rPr>
                <w:sz w:val="24"/>
              </w:rPr>
            </w:pPr>
            <w:r>
              <w:rPr>
                <w:sz w:val="24"/>
              </w:rPr>
              <w:t>Padres: 80%</w:t>
            </w:r>
          </w:p>
          <w:p>
            <w:pPr>
              <w:pStyle w:val="TableParagraph"/>
              <w:ind w:left="57"/>
              <w:rPr>
                <w:sz w:val="24"/>
              </w:rPr>
            </w:pPr>
            <w:r>
              <w:rPr>
                <w:sz w:val="24"/>
              </w:rPr>
              <w:t>Personal: 100%</w:t>
            </w:r>
          </w:p>
          <w:p>
            <w:pPr>
              <w:pStyle w:val="TableParagraph"/>
              <w:ind w:left="57"/>
              <w:rPr>
                <w:sz w:val="24"/>
              </w:rPr>
            </w:pPr>
            <w:r>
              <w:rPr>
                <w:sz w:val="24"/>
              </w:rPr>
              <w:t>Alumnos: 76%</w:t>
            </w:r>
          </w:p>
        </w:tc>
      </w:tr>
    </w:tbl>
    <w:p>
      <w:pPr>
        <w:pStyle w:val="BodyText"/>
        <w:spacing w:before="11"/>
        <w:rPr>
          <w:b/>
          <w:sz w:val="7"/>
        </w:rPr>
      </w:pPr>
    </w:p>
    <w:p>
      <w:pPr>
        <w:spacing w:before="88"/>
        <w:ind w:left="240" w:right="0" w:firstLine="0"/>
        <w:jc w:val="left"/>
        <w:rPr>
          <w:b/>
          <w:sz w:val="36"/>
        </w:rPr>
      </w:pPr>
      <w:bookmarkStart w:name="Acciones" w:id="20"/>
      <w:bookmarkEnd w:id="20"/>
      <w:r>
        <w:rPr/>
      </w:r>
      <w:hyperlink r:id="rId22">
        <w:r>
          <w:rPr>
            <w:b/>
            <w:sz w:val="36"/>
          </w:rPr>
          <w:t>Acciones</w:t>
        </w:r>
      </w:hyperlink>
    </w:p>
    <w:p>
      <w:pPr>
        <w:pStyle w:val="BodyText"/>
        <w:rPr>
          <w:b/>
        </w:rPr>
      </w:pPr>
    </w:p>
    <w:tbl>
      <w:tblPr>
        <w:tblW w:w="0" w:type="auto"/>
        <w:jc w:val="left"/>
        <w:tblInd w:w="250" w:type="dxa"/>
        <w:tblBorders>
          <w:top w:val="single" w:sz="4" w:space="0" w:color="8496B0"/>
          <w:left w:val="single" w:sz="4" w:space="0" w:color="8496B0"/>
          <w:bottom w:val="single" w:sz="4" w:space="0" w:color="8496B0"/>
          <w:right w:val="single" w:sz="4" w:space="0" w:color="8496B0"/>
          <w:insideH w:val="single" w:sz="4" w:space="0" w:color="8496B0"/>
          <w:insideV w:val="single" w:sz="4" w:space="0" w:color="8496B0"/>
        </w:tblBorders>
        <w:tblLayout w:type="fixed"/>
        <w:tblCellMar>
          <w:top w:w="0" w:type="dxa"/>
          <w:left w:w="0" w:type="dxa"/>
          <w:bottom w:w="0" w:type="dxa"/>
          <w:right w:w="0" w:type="dxa"/>
        </w:tblCellMar>
        <w:tblLook w:val="01E0"/>
      </w:tblPr>
      <w:tblGrid>
        <w:gridCol w:w="1269"/>
        <w:gridCol w:w="2440"/>
        <w:gridCol w:w="7626"/>
        <w:gridCol w:w="2156"/>
        <w:gridCol w:w="1619"/>
      </w:tblGrid>
      <w:tr>
        <w:trPr>
          <w:trHeight w:val="609" w:hRule="atLeast"/>
        </w:trPr>
        <w:tc>
          <w:tcPr>
            <w:tcW w:w="1269" w:type="dxa"/>
            <w:shd w:val="clear" w:color="auto" w:fill="DBE5F1"/>
          </w:tcPr>
          <w:p>
            <w:pPr>
              <w:pStyle w:val="TableParagraph"/>
              <w:spacing w:before="58"/>
              <w:ind w:left="58"/>
              <w:rPr>
                <w:sz w:val="24"/>
              </w:rPr>
            </w:pPr>
            <w:r>
              <w:rPr>
                <w:sz w:val="24"/>
              </w:rPr>
              <w:t>Acción #</w:t>
            </w:r>
          </w:p>
        </w:tc>
        <w:tc>
          <w:tcPr>
            <w:tcW w:w="2440" w:type="dxa"/>
            <w:shd w:val="clear" w:color="auto" w:fill="DBE5F1"/>
          </w:tcPr>
          <w:p>
            <w:pPr>
              <w:pStyle w:val="TableParagraph"/>
              <w:spacing w:before="58"/>
              <w:ind w:left="58"/>
              <w:rPr>
                <w:sz w:val="24"/>
              </w:rPr>
            </w:pPr>
            <w:r>
              <w:rPr>
                <w:sz w:val="24"/>
              </w:rPr>
              <w:t>Título</w:t>
            </w:r>
          </w:p>
        </w:tc>
        <w:tc>
          <w:tcPr>
            <w:tcW w:w="7626" w:type="dxa"/>
            <w:shd w:val="clear" w:color="auto" w:fill="DBE5F1"/>
          </w:tcPr>
          <w:p>
            <w:pPr>
              <w:pStyle w:val="TableParagraph"/>
              <w:spacing w:before="58"/>
              <w:ind w:left="57"/>
              <w:rPr>
                <w:sz w:val="24"/>
              </w:rPr>
            </w:pPr>
            <w:r>
              <w:rPr>
                <w:sz w:val="24"/>
              </w:rPr>
              <w:t>Descripción</w:t>
            </w:r>
          </w:p>
        </w:tc>
        <w:tc>
          <w:tcPr>
            <w:tcW w:w="2156" w:type="dxa"/>
            <w:shd w:val="clear" w:color="auto" w:fill="DBE5F1"/>
          </w:tcPr>
          <w:p>
            <w:pPr>
              <w:pStyle w:val="TableParagraph"/>
              <w:spacing w:before="58"/>
              <w:ind w:left="210"/>
              <w:rPr>
                <w:sz w:val="24"/>
              </w:rPr>
            </w:pPr>
            <w:r>
              <w:rPr>
                <w:sz w:val="24"/>
              </w:rPr>
              <w:t>Total de Fondos</w:t>
            </w:r>
          </w:p>
        </w:tc>
        <w:tc>
          <w:tcPr>
            <w:tcW w:w="1619" w:type="dxa"/>
            <w:shd w:val="clear" w:color="auto" w:fill="DBE5F1"/>
          </w:tcPr>
          <w:p>
            <w:pPr>
              <w:pStyle w:val="TableParagraph"/>
              <w:spacing w:line="270" w:lineRule="atLeast" w:before="58"/>
              <w:ind w:left="742" w:right="67" w:hanging="648"/>
              <w:rPr>
                <w:sz w:val="24"/>
              </w:rPr>
            </w:pPr>
            <w:r>
              <w:rPr>
                <w:sz w:val="24"/>
              </w:rPr>
              <w:t>Contribuyend o</w:t>
            </w:r>
          </w:p>
        </w:tc>
      </w:tr>
      <w:tr>
        <w:trPr>
          <w:trHeight w:val="1989" w:hRule="atLeast"/>
        </w:trPr>
        <w:tc>
          <w:tcPr>
            <w:tcW w:w="1269" w:type="dxa"/>
          </w:tcPr>
          <w:p>
            <w:pPr>
              <w:pStyle w:val="TableParagraph"/>
              <w:spacing w:before="58"/>
              <w:ind w:left="9"/>
              <w:jc w:val="center"/>
              <w:rPr>
                <w:b/>
                <w:sz w:val="24"/>
              </w:rPr>
            </w:pPr>
            <w:r>
              <w:rPr>
                <w:b/>
                <w:sz w:val="24"/>
              </w:rPr>
              <w:t>1</w:t>
            </w:r>
          </w:p>
        </w:tc>
        <w:tc>
          <w:tcPr>
            <w:tcW w:w="2440" w:type="dxa"/>
          </w:tcPr>
          <w:p>
            <w:pPr>
              <w:pStyle w:val="TableParagraph"/>
              <w:spacing w:before="58"/>
              <w:ind w:left="58"/>
              <w:rPr>
                <w:sz w:val="24"/>
              </w:rPr>
            </w:pPr>
            <w:r>
              <w:rPr>
                <w:sz w:val="24"/>
              </w:rPr>
              <w:t>1 Instalaciones</w:t>
            </w:r>
          </w:p>
        </w:tc>
        <w:tc>
          <w:tcPr>
            <w:tcW w:w="7626" w:type="dxa"/>
          </w:tcPr>
          <w:p>
            <w:pPr>
              <w:pStyle w:val="TableParagraph"/>
              <w:spacing w:before="58"/>
              <w:ind w:left="57" w:right="268"/>
              <w:rPr>
                <w:sz w:val="24"/>
              </w:rPr>
            </w:pPr>
            <w:r>
              <w:rPr>
                <w:sz w:val="24"/>
              </w:rPr>
              <w:t>Mantener y corregir las instalaciones actuales de manera segura y operativa. Continuar obteniendo informes de la Herramienta para Inspección de Instalaciones (FIT, por sus siglas en inglés) donde las condiciones sean buenas y ejemplares. Mantener las reparaciones interiores y exteriores de los edificios según sea necesario.</w:t>
            </w:r>
          </w:p>
        </w:tc>
        <w:tc>
          <w:tcPr>
            <w:tcW w:w="2156" w:type="dxa"/>
          </w:tcPr>
          <w:p>
            <w:pPr>
              <w:pStyle w:val="TableParagraph"/>
              <w:rPr>
                <w:rFonts w:ascii="Times New Roman"/>
                <w:sz w:val="22"/>
              </w:rPr>
            </w:pPr>
          </w:p>
        </w:tc>
        <w:tc>
          <w:tcPr>
            <w:tcW w:w="1619" w:type="dxa"/>
          </w:tcPr>
          <w:p>
            <w:pPr>
              <w:pStyle w:val="TableParagraph"/>
              <w:rPr>
                <w:rFonts w:ascii="Times New Roman"/>
                <w:sz w:val="22"/>
              </w:rPr>
            </w:pPr>
          </w:p>
        </w:tc>
      </w:tr>
      <w:tr>
        <w:trPr>
          <w:trHeight w:val="885" w:hRule="atLeast"/>
        </w:trPr>
        <w:tc>
          <w:tcPr>
            <w:tcW w:w="1269" w:type="dxa"/>
          </w:tcPr>
          <w:p>
            <w:pPr>
              <w:pStyle w:val="TableParagraph"/>
              <w:spacing w:before="58"/>
              <w:ind w:left="9"/>
              <w:jc w:val="center"/>
              <w:rPr>
                <w:b/>
                <w:sz w:val="24"/>
              </w:rPr>
            </w:pPr>
            <w:r>
              <w:rPr>
                <w:b/>
                <w:sz w:val="24"/>
              </w:rPr>
              <w:t>2</w:t>
            </w:r>
          </w:p>
        </w:tc>
        <w:tc>
          <w:tcPr>
            <w:tcW w:w="2440" w:type="dxa"/>
          </w:tcPr>
          <w:p>
            <w:pPr>
              <w:pStyle w:val="TableParagraph"/>
              <w:spacing w:before="58"/>
              <w:ind w:left="58"/>
              <w:rPr>
                <w:sz w:val="24"/>
              </w:rPr>
            </w:pPr>
            <w:r>
              <w:rPr>
                <w:sz w:val="24"/>
              </w:rPr>
              <w:t>2 Asistencia</w:t>
            </w:r>
          </w:p>
        </w:tc>
        <w:tc>
          <w:tcPr>
            <w:tcW w:w="7626" w:type="dxa"/>
          </w:tcPr>
          <w:p>
            <w:pPr>
              <w:pStyle w:val="TableParagraph"/>
              <w:spacing w:line="270" w:lineRule="atLeast" w:before="58"/>
              <w:ind w:left="57" w:right="388"/>
              <w:rPr>
                <w:sz w:val="24"/>
              </w:rPr>
            </w:pPr>
            <w:r>
              <w:rPr>
                <w:sz w:val="24"/>
              </w:rPr>
              <w:t>Supervisar la asistencia diaria. Mantener y continuar mejorando el programa informático y el sistema de notificación/monitoreo de asistencia. Proporcionar servicios de transporte en autobús escolar</w:t>
            </w:r>
          </w:p>
        </w:tc>
        <w:tc>
          <w:tcPr>
            <w:tcW w:w="2156" w:type="dxa"/>
          </w:tcPr>
          <w:p>
            <w:pPr>
              <w:pStyle w:val="TableParagraph"/>
              <w:rPr>
                <w:rFonts w:ascii="Times New Roman"/>
                <w:sz w:val="22"/>
              </w:rPr>
            </w:pPr>
          </w:p>
        </w:tc>
        <w:tc>
          <w:tcPr>
            <w:tcW w:w="1619" w:type="dxa"/>
          </w:tcPr>
          <w:p>
            <w:pPr>
              <w:pStyle w:val="TableParagraph"/>
              <w:rPr>
                <w:rFonts w:ascii="Times New Roman"/>
                <w:sz w:val="22"/>
              </w:rPr>
            </w:pPr>
          </w:p>
        </w:tc>
      </w:tr>
    </w:tbl>
    <w:p>
      <w:pPr>
        <w:spacing w:after="0"/>
        <w:rPr>
          <w:rFonts w:ascii="Times New Roman"/>
          <w:sz w:val="22"/>
        </w:rPr>
        <w:sectPr>
          <w:pgSz w:w="15840" w:h="12240" w:orient="landscape"/>
          <w:pgMar w:header="0" w:footer="284" w:top="640" w:bottom="480" w:left="120" w:right="120"/>
        </w:sectPr>
      </w:pPr>
    </w:p>
    <w:tbl>
      <w:tblPr>
        <w:tblW w:w="0" w:type="auto"/>
        <w:jc w:val="left"/>
        <w:tblInd w:w="250" w:type="dxa"/>
        <w:tblBorders>
          <w:top w:val="single" w:sz="4" w:space="0" w:color="8496B0"/>
          <w:left w:val="single" w:sz="4" w:space="0" w:color="8496B0"/>
          <w:bottom w:val="single" w:sz="4" w:space="0" w:color="8496B0"/>
          <w:right w:val="single" w:sz="4" w:space="0" w:color="8496B0"/>
          <w:insideH w:val="single" w:sz="4" w:space="0" w:color="8496B0"/>
          <w:insideV w:val="single" w:sz="4" w:space="0" w:color="8496B0"/>
        </w:tblBorders>
        <w:tblLayout w:type="fixed"/>
        <w:tblCellMar>
          <w:top w:w="0" w:type="dxa"/>
          <w:left w:w="0" w:type="dxa"/>
          <w:bottom w:w="0" w:type="dxa"/>
          <w:right w:w="0" w:type="dxa"/>
        </w:tblCellMar>
        <w:tblLook w:val="01E0"/>
      </w:tblPr>
      <w:tblGrid>
        <w:gridCol w:w="1269"/>
        <w:gridCol w:w="2440"/>
        <w:gridCol w:w="7626"/>
        <w:gridCol w:w="2156"/>
        <w:gridCol w:w="1619"/>
      </w:tblGrid>
      <w:tr>
        <w:trPr>
          <w:trHeight w:val="609" w:hRule="atLeast"/>
        </w:trPr>
        <w:tc>
          <w:tcPr>
            <w:tcW w:w="1269" w:type="dxa"/>
            <w:shd w:val="clear" w:color="auto" w:fill="DBE5F1"/>
          </w:tcPr>
          <w:p>
            <w:pPr>
              <w:pStyle w:val="TableParagraph"/>
              <w:spacing w:before="54"/>
              <w:ind w:left="58"/>
              <w:rPr>
                <w:sz w:val="24"/>
              </w:rPr>
            </w:pPr>
            <w:r>
              <w:rPr>
                <w:sz w:val="24"/>
              </w:rPr>
              <w:t>Acción #</w:t>
            </w:r>
          </w:p>
        </w:tc>
        <w:tc>
          <w:tcPr>
            <w:tcW w:w="2440" w:type="dxa"/>
            <w:shd w:val="clear" w:color="auto" w:fill="DBE5F1"/>
          </w:tcPr>
          <w:p>
            <w:pPr>
              <w:pStyle w:val="TableParagraph"/>
              <w:spacing w:before="54"/>
              <w:ind w:left="58"/>
              <w:rPr>
                <w:sz w:val="24"/>
              </w:rPr>
            </w:pPr>
            <w:r>
              <w:rPr>
                <w:sz w:val="24"/>
              </w:rPr>
              <w:t>Título</w:t>
            </w:r>
          </w:p>
        </w:tc>
        <w:tc>
          <w:tcPr>
            <w:tcW w:w="7626" w:type="dxa"/>
            <w:shd w:val="clear" w:color="auto" w:fill="DBE5F1"/>
          </w:tcPr>
          <w:p>
            <w:pPr>
              <w:pStyle w:val="TableParagraph"/>
              <w:spacing w:before="54"/>
              <w:ind w:left="57"/>
              <w:rPr>
                <w:sz w:val="24"/>
              </w:rPr>
            </w:pPr>
            <w:r>
              <w:rPr>
                <w:sz w:val="24"/>
              </w:rPr>
              <w:t>Descripción</w:t>
            </w:r>
          </w:p>
        </w:tc>
        <w:tc>
          <w:tcPr>
            <w:tcW w:w="2156" w:type="dxa"/>
            <w:shd w:val="clear" w:color="auto" w:fill="DBE5F1"/>
          </w:tcPr>
          <w:p>
            <w:pPr>
              <w:pStyle w:val="TableParagraph"/>
              <w:spacing w:before="54"/>
              <w:ind w:left="210"/>
              <w:rPr>
                <w:sz w:val="24"/>
              </w:rPr>
            </w:pPr>
            <w:r>
              <w:rPr>
                <w:sz w:val="24"/>
              </w:rPr>
              <w:t>Total de Fondos</w:t>
            </w:r>
          </w:p>
        </w:tc>
        <w:tc>
          <w:tcPr>
            <w:tcW w:w="1619" w:type="dxa"/>
            <w:shd w:val="clear" w:color="auto" w:fill="DBE5F1"/>
          </w:tcPr>
          <w:p>
            <w:pPr>
              <w:pStyle w:val="TableParagraph"/>
              <w:spacing w:line="270" w:lineRule="atLeast" w:before="54"/>
              <w:ind w:left="742" w:right="67" w:hanging="648"/>
              <w:rPr>
                <w:sz w:val="24"/>
              </w:rPr>
            </w:pPr>
            <w:r>
              <w:rPr>
                <w:sz w:val="24"/>
              </w:rPr>
              <w:t>Contribuyend o</w:t>
            </w:r>
          </w:p>
        </w:tc>
      </w:tr>
      <w:tr>
        <w:trPr>
          <w:trHeight w:val="1161" w:hRule="atLeast"/>
        </w:trPr>
        <w:tc>
          <w:tcPr>
            <w:tcW w:w="1269" w:type="dxa"/>
          </w:tcPr>
          <w:p>
            <w:pPr>
              <w:pStyle w:val="TableParagraph"/>
              <w:rPr>
                <w:rFonts w:ascii="Times New Roman"/>
                <w:sz w:val="22"/>
              </w:rPr>
            </w:pPr>
          </w:p>
        </w:tc>
        <w:tc>
          <w:tcPr>
            <w:tcW w:w="2440" w:type="dxa"/>
          </w:tcPr>
          <w:p>
            <w:pPr>
              <w:pStyle w:val="TableParagraph"/>
              <w:rPr>
                <w:rFonts w:ascii="Times New Roman"/>
                <w:sz w:val="22"/>
              </w:rPr>
            </w:pPr>
          </w:p>
        </w:tc>
        <w:tc>
          <w:tcPr>
            <w:tcW w:w="7626" w:type="dxa"/>
          </w:tcPr>
          <w:p>
            <w:pPr>
              <w:pStyle w:val="TableParagraph"/>
              <w:spacing w:before="54"/>
              <w:ind w:left="57" w:right="94"/>
              <w:rPr>
                <w:sz w:val="24"/>
              </w:rPr>
            </w:pPr>
            <w:r>
              <w:rPr>
                <w:sz w:val="24"/>
              </w:rPr>
              <w:t>hacia y desde la escuela para todos los alumnos del distrito y para las paradas designadas para los alumnos entre distritos.</w:t>
            </w:r>
          </w:p>
        </w:tc>
        <w:tc>
          <w:tcPr>
            <w:tcW w:w="2156" w:type="dxa"/>
          </w:tcPr>
          <w:p>
            <w:pPr>
              <w:pStyle w:val="TableParagraph"/>
              <w:rPr>
                <w:rFonts w:ascii="Times New Roman"/>
                <w:sz w:val="22"/>
              </w:rPr>
            </w:pPr>
          </w:p>
        </w:tc>
        <w:tc>
          <w:tcPr>
            <w:tcW w:w="1619" w:type="dxa"/>
          </w:tcPr>
          <w:p>
            <w:pPr>
              <w:pStyle w:val="TableParagraph"/>
              <w:rPr>
                <w:rFonts w:ascii="Times New Roman"/>
                <w:sz w:val="22"/>
              </w:rPr>
            </w:pPr>
          </w:p>
        </w:tc>
      </w:tr>
      <w:tr>
        <w:trPr>
          <w:trHeight w:val="3093" w:hRule="atLeast"/>
        </w:trPr>
        <w:tc>
          <w:tcPr>
            <w:tcW w:w="1269" w:type="dxa"/>
          </w:tcPr>
          <w:p>
            <w:pPr>
              <w:pStyle w:val="TableParagraph"/>
              <w:spacing w:before="54"/>
              <w:ind w:left="9"/>
              <w:jc w:val="center"/>
              <w:rPr>
                <w:b/>
                <w:sz w:val="24"/>
              </w:rPr>
            </w:pPr>
            <w:r>
              <w:rPr>
                <w:b/>
                <w:sz w:val="24"/>
              </w:rPr>
              <w:t>3</w:t>
            </w:r>
          </w:p>
        </w:tc>
        <w:tc>
          <w:tcPr>
            <w:tcW w:w="2440" w:type="dxa"/>
          </w:tcPr>
          <w:p>
            <w:pPr>
              <w:pStyle w:val="TableParagraph"/>
              <w:spacing w:before="54"/>
              <w:ind w:left="58" w:right="30"/>
              <w:rPr>
                <w:sz w:val="24"/>
              </w:rPr>
            </w:pPr>
            <w:r>
              <w:rPr>
                <w:sz w:val="24"/>
              </w:rPr>
              <w:t>3 Seguridad escolar y clima escolar</w:t>
            </w:r>
          </w:p>
        </w:tc>
        <w:tc>
          <w:tcPr>
            <w:tcW w:w="7626" w:type="dxa"/>
          </w:tcPr>
          <w:p>
            <w:pPr>
              <w:pStyle w:val="TableParagraph"/>
              <w:spacing w:before="54"/>
              <w:ind w:left="57"/>
              <w:rPr>
                <w:sz w:val="24"/>
              </w:rPr>
            </w:pPr>
            <w:r>
              <w:rPr>
                <w:sz w:val="24"/>
              </w:rPr>
              <w:t>Apoyar la seguridad y un clima escolar positivo.</w:t>
            </w:r>
          </w:p>
          <w:p>
            <w:pPr>
              <w:pStyle w:val="TableParagraph"/>
              <w:ind w:left="57" w:right="602"/>
              <w:rPr>
                <w:sz w:val="24"/>
              </w:rPr>
            </w:pPr>
            <w:r>
              <w:rPr>
                <w:sz w:val="24"/>
              </w:rPr>
              <w:t>Revisar y ajustar los planes de seguridad escolar para facilitar un ambiente escolar más seguro y positivo.</w:t>
            </w:r>
          </w:p>
          <w:p>
            <w:pPr>
              <w:pStyle w:val="TableParagraph"/>
              <w:ind w:left="57" w:right="121"/>
              <w:rPr>
                <w:sz w:val="24"/>
              </w:rPr>
            </w:pPr>
            <w:r>
              <w:rPr>
                <w:sz w:val="24"/>
              </w:rPr>
              <w:t>Usar el sistema de información estudiantil para mantener las tasas de suspensión y expulsión de los alumnos &lt;1%.</w:t>
            </w:r>
          </w:p>
          <w:p>
            <w:pPr>
              <w:pStyle w:val="TableParagraph"/>
              <w:ind w:left="57" w:right="348"/>
              <w:rPr>
                <w:sz w:val="24"/>
              </w:rPr>
            </w:pPr>
            <w:r>
              <w:rPr>
                <w:sz w:val="24"/>
              </w:rPr>
              <w:t>Continuar utilizando las prácticas de Justicia Restauradora para mantener un clima escolar positivo apoyando así las tasas bajas de suspensión y expulsión escolar.</w:t>
            </w:r>
          </w:p>
        </w:tc>
        <w:tc>
          <w:tcPr>
            <w:tcW w:w="2156" w:type="dxa"/>
          </w:tcPr>
          <w:p>
            <w:pPr>
              <w:pStyle w:val="TableParagraph"/>
              <w:rPr>
                <w:rFonts w:ascii="Times New Roman"/>
                <w:sz w:val="22"/>
              </w:rPr>
            </w:pPr>
          </w:p>
        </w:tc>
        <w:tc>
          <w:tcPr>
            <w:tcW w:w="1619" w:type="dxa"/>
          </w:tcPr>
          <w:p>
            <w:pPr>
              <w:pStyle w:val="TableParagraph"/>
              <w:rPr>
                <w:rFonts w:ascii="Times New Roman"/>
                <w:sz w:val="22"/>
              </w:rPr>
            </w:pPr>
          </w:p>
        </w:tc>
      </w:tr>
      <w:tr>
        <w:trPr>
          <w:trHeight w:val="2541" w:hRule="atLeast"/>
        </w:trPr>
        <w:tc>
          <w:tcPr>
            <w:tcW w:w="1269" w:type="dxa"/>
          </w:tcPr>
          <w:p>
            <w:pPr>
              <w:pStyle w:val="TableParagraph"/>
              <w:spacing w:before="54"/>
              <w:ind w:left="9"/>
              <w:jc w:val="center"/>
              <w:rPr>
                <w:b/>
                <w:sz w:val="24"/>
              </w:rPr>
            </w:pPr>
            <w:r>
              <w:rPr>
                <w:b/>
                <w:sz w:val="24"/>
              </w:rPr>
              <w:t>4</w:t>
            </w:r>
          </w:p>
        </w:tc>
        <w:tc>
          <w:tcPr>
            <w:tcW w:w="2440" w:type="dxa"/>
          </w:tcPr>
          <w:p>
            <w:pPr>
              <w:pStyle w:val="TableParagraph"/>
              <w:spacing w:before="54"/>
              <w:ind w:left="58"/>
              <w:rPr>
                <w:sz w:val="24"/>
              </w:rPr>
            </w:pPr>
            <w:r>
              <w:rPr>
                <w:sz w:val="24"/>
              </w:rPr>
              <w:t>4 Servicios de salud</w:t>
            </w:r>
          </w:p>
        </w:tc>
        <w:tc>
          <w:tcPr>
            <w:tcW w:w="7626" w:type="dxa"/>
          </w:tcPr>
          <w:p>
            <w:pPr>
              <w:pStyle w:val="TableParagraph"/>
              <w:spacing w:before="54"/>
              <w:ind w:left="57" w:right="59"/>
              <w:rPr>
                <w:sz w:val="24"/>
              </w:rPr>
            </w:pPr>
            <w:r>
              <w:rPr>
                <w:sz w:val="24"/>
              </w:rPr>
              <w:t>Continuar asociándose con Salud y Servicios Humanos del Condado de Sutter, el Superintendente de Escuelas del Condado de Sutter para proporcionar servicios de asesoría a los alumnos y supervisar las necesidades socioemocionales de todos los alumnos. La educación y la capacitación sobre al anti-vapeo para alumnos y personal proporcionada por el Superintendente de Escuelas del Condado de Sutter (SCSOS, por sus siglas en</w:t>
            </w:r>
            <w:r>
              <w:rPr>
                <w:spacing w:val="-3"/>
                <w:sz w:val="24"/>
              </w:rPr>
              <w:t> </w:t>
            </w:r>
            <w:r>
              <w:rPr>
                <w:sz w:val="24"/>
              </w:rPr>
              <w:t>inglés).</w:t>
            </w:r>
          </w:p>
        </w:tc>
        <w:tc>
          <w:tcPr>
            <w:tcW w:w="2156" w:type="dxa"/>
          </w:tcPr>
          <w:p>
            <w:pPr>
              <w:pStyle w:val="TableParagraph"/>
              <w:rPr>
                <w:rFonts w:ascii="Times New Roman"/>
                <w:sz w:val="22"/>
              </w:rPr>
            </w:pPr>
          </w:p>
        </w:tc>
        <w:tc>
          <w:tcPr>
            <w:tcW w:w="1619" w:type="dxa"/>
          </w:tcPr>
          <w:p>
            <w:pPr>
              <w:pStyle w:val="TableParagraph"/>
              <w:rPr>
                <w:rFonts w:ascii="Times New Roman"/>
                <w:sz w:val="22"/>
              </w:rPr>
            </w:pPr>
          </w:p>
        </w:tc>
      </w:tr>
      <w:tr>
        <w:trPr>
          <w:trHeight w:val="1989" w:hRule="atLeast"/>
        </w:trPr>
        <w:tc>
          <w:tcPr>
            <w:tcW w:w="1269" w:type="dxa"/>
          </w:tcPr>
          <w:p>
            <w:pPr>
              <w:pStyle w:val="TableParagraph"/>
              <w:spacing w:before="54"/>
              <w:ind w:left="9"/>
              <w:jc w:val="center"/>
              <w:rPr>
                <w:b/>
                <w:sz w:val="24"/>
              </w:rPr>
            </w:pPr>
            <w:r>
              <w:rPr>
                <w:b/>
                <w:sz w:val="24"/>
              </w:rPr>
              <w:t>5</w:t>
            </w:r>
          </w:p>
        </w:tc>
        <w:tc>
          <w:tcPr>
            <w:tcW w:w="2440" w:type="dxa"/>
          </w:tcPr>
          <w:p>
            <w:pPr>
              <w:pStyle w:val="TableParagraph"/>
              <w:spacing w:before="54"/>
              <w:ind w:left="58" w:right="497"/>
              <w:rPr>
                <w:sz w:val="24"/>
              </w:rPr>
            </w:pPr>
            <w:r>
              <w:rPr>
                <w:sz w:val="24"/>
              </w:rPr>
              <w:t>5 Alcance para la comunidad</w:t>
            </w:r>
          </w:p>
        </w:tc>
        <w:tc>
          <w:tcPr>
            <w:tcW w:w="7626" w:type="dxa"/>
          </w:tcPr>
          <w:p>
            <w:pPr>
              <w:pStyle w:val="TableParagraph"/>
              <w:spacing w:before="54"/>
              <w:ind w:left="57" w:right="215"/>
              <w:rPr>
                <w:sz w:val="24"/>
              </w:rPr>
            </w:pPr>
            <w:r>
              <w:rPr>
                <w:sz w:val="24"/>
              </w:rPr>
              <w:t>Proporcionar materiales e información para eventos escolares y comunitarios como la Noche de Matemáticas, la Noche de Ciencias, Leer a través de América, ya que estas son oportunidades para que los padres y los alumnos brinden comentarios sobre los programas y los servicios de instrucción.</w:t>
            </w:r>
          </w:p>
        </w:tc>
        <w:tc>
          <w:tcPr>
            <w:tcW w:w="2156" w:type="dxa"/>
          </w:tcPr>
          <w:p>
            <w:pPr>
              <w:pStyle w:val="TableParagraph"/>
              <w:rPr>
                <w:rFonts w:ascii="Times New Roman"/>
                <w:sz w:val="22"/>
              </w:rPr>
            </w:pPr>
          </w:p>
        </w:tc>
        <w:tc>
          <w:tcPr>
            <w:tcW w:w="1619" w:type="dxa"/>
          </w:tcPr>
          <w:p>
            <w:pPr>
              <w:pStyle w:val="TableParagraph"/>
              <w:rPr>
                <w:rFonts w:ascii="Times New Roman"/>
                <w:sz w:val="22"/>
              </w:rPr>
            </w:pPr>
          </w:p>
        </w:tc>
      </w:tr>
    </w:tbl>
    <w:p>
      <w:pPr>
        <w:spacing w:after="0"/>
        <w:rPr>
          <w:rFonts w:ascii="Times New Roman"/>
          <w:sz w:val="22"/>
        </w:rPr>
        <w:sectPr>
          <w:pgSz w:w="15840" w:h="12240" w:orient="landscape"/>
          <w:pgMar w:header="0" w:footer="284" w:top="640" w:bottom="480" w:left="120" w:right="120"/>
        </w:sectPr>
      </w:pPr>
    </w:p>
    <w:p>
      <w:pPr>
        <w:spacing w:before="76"/>
        <w:ind w:left="240" w:right="0" w:firstLine="0"/>
        <w:jc w:val="left"/>
        <w:rPr>
          <w:b/>
          <w:sz w:val="36"/>
        </w:rPr>
      </w:pPr>
      <w:bookmarkStart w:name="Análisis de Meta [2021-22]" w:id="21"/>
      <w:bookmarkEnd w:id="21"/>
      <w:r>
        <w:rPr/>
      </w:r>
      <w:hyperlink r:id="rId23">
        <w:r>
          <w:rPr>
            <w:b/>
            <w:sz w:val="36"/>
          </w:rPr>
          <w:t>Análisis de Meta [2021-22]</w:t>
        </w:r>
      </w:hyperlink>
    </w:p>
    <w:p>
      <w:pPr>
        <w:pStyle w:val="BodyText"/>
        <w:ind w:left="240"/>
      </w:pPr>
      <w:r>
        <w:rPr/>
        <w:t>Un análisis sobre como esta meta fue realizada en el previo año.</w:t>
      </w:r>
    </w:p>
    <w:p>
      <w:pPr>
        <w:pStyle w:val="BodyText"/>
        <w:tabs>
          <w:tab w:pos="15388" w:val="left" w:leader="none"/>
        </w:tabs>
        <w:ind w:left="240"/>
      </w:pPr>
      <w:r>
        <w:rPr/>
        <w:pict>
          <v:shape style="position:absolute;margin-left:18.5pt;margin-top:20.048859pt;width:755pt;height:21.9pt;mso-position-horizontal-relative:page;mso-position-vertical-relative:paragraph;z-index:-251627520;mso-wrap-distance-left:0;mso-wrap-distance-right:0" type="#_x0000_t202" filled="false" stroked="true" strokeweight="1pt" strokecolor="#8496b0">
            <v:textbox inset="0,0,0,0">
              <w:txbxContent>
                <w:p>
                  <w:pPr>
                    <w:pStyle w:val="BodyText"/>
                    <w:spacing w:before="58"/>
                    <w:ind w:left="48"/>
                  </w:pPr>
                  <w:r>
                    <w:rPr/>
                    <w:t>Análisis de las metas de 2021-22 se llevará a cabo durante el ciclo de actualización de 2022-23.</w:t>
                  </w:r>
                </w:p>
              </w:txbxContent>
            </v:textbox>
            <v:stroke dashstyle="solid"/>
            <w10:wrap type="topAndBottom"/>
          </v:shape>
        </w:pict>
      </w:r>
      <w:r>
        <w:rPr>
          <w:shd w:fill="DBE5F1" w:color="auto" w:val="clear"/>
        </w:rPr>
        <w:t>Una</w:t>
      </w:r>
      <w:r>
        <w:rPr>
          <w:spacing w:val="-4"/>
          <w:shd w:fill="DBE5F1" w:color="auto" w:val="clear"/>
        </w:rPr>
        <w:t> </w:t>
      </w:r>
      <w:r>
        <w:rPr>
          <w:shd w:fill="DBE5F1" w:color="auto" w:val="clear"/>
        </w:rPr>
        <w:t>descripción</w:t>
      </w:r>
      <w:r>
        <w:rPr>
          <w:spacing w:val="-3"/>
          <w:shd w:fill="DBE5F1" w:color="auto" w:val="clear"/>
        </w:rPr>
        <w:t> </w:t>
      </w:r>
      <w:r>
        <w:rPr>
          <w:shd w:fill="DBE5F1" w:color="auto" w:val="clear"/>
        </w:rPr>
        <w:t>de</w:t>
      </w:r>
      <w:r>
        <w:rPr>
          <w:spacing w:val="-4"/>
          <w:shd w:fill="DBE5F1" w:color="auto" w:val="clear"/>
        </w:rPr>
        <w:t> </w:t>
      </w:r>
      <w:r>
        <w:rPr>
          <w:shd w:fill="DBE5F1" w:color="auto" w:val="clear"/>
        </w:rPr>
        <w:t>cualquier</w:t>
      </w:r>
      <w:r>
        <w:rPr>
          <w:spacing w:val="-4"/>
          <w:shd w:fill="DBE5F1" w:color="auto" w:val="clear"/>
        </w:rPr>
        <w:t> </w:t>
      </w:r>
      <w:r>
        <w:rPr>
          <w:shd w:fill="DBE5F1" w:color="auto" w:val="clear"/>
        </w:rPr>
        <w:t>diferencia</w:t>
      </w:r>
      <w:r>
        <w:rPr>
          <w:spacing w:val="-4"/>
          <w:shd w:fill="DBE5F1" w:color="auto" w:val="clear"/>
        </w:rPr>
        <w:t> </w:t>
      </w:r>
      <w:r>
        <w:rPr>
          <w:shd w:fill="DBE5F1" w:color="auto" w:val="clear"/>
        </w:rPr>
        <w:t>significativa</w:t>
      </w:r>
      <w:r>
        <w:rPr>
          <w:spacing w:val="-4"/>
          <w:shd w:fill="DBE5F1" w:color="auto" w:val="clear"/>
        </w:rPr>
        <w:t> </w:t>
      </w:r>
      <w:r>
        <w:rPr>
          <w:shd w:fill="DBE5F1" w:color="auto" w:val="clear"/>
        </w:rPr>
        <w:t>en</w:t>
      </w:r>
      <w:r>
        <w:rPr>
          <w:spacing w:val="-4"/>
          <w:shd w:fill="DBE5F1" w:color="auto" w:val="clear"/>
        </w:rPr>
        <w:t> </w:t>
      </w:r>
      <w:r>
        <w:rPr>
          <w:shd w:fill="DBE5F1" w:color="auto" w:val="clear"/>
        </w:rPr>
        <w:t>acciones</w:t>
      </w:r>
      <w:r>
        <w:rPr>
          <w:spacing w:val="-3"/>
          <w:shd w:fill="DBE5F1" w:color="auto" w:val="clear"/>
        </w:rPr>
        <w:t> </w:t>
      </w:r>
      <w:r>
        <w:rPr>
          <w:shd w:fill="DBE5F1" w:color="auto" w:val="clear"/>
        </w:rPr>
        <w:t>planeadas</w:t>
      </w:r>
      <w:r>
        <w:rPr>
          <w:spacing w:val="-4"/>
          <w:shd w:fill="DBE5F1" w:color="auto" w:val="clear"/>
        </w:rPr>
        <w:t> </w:t>
      </w:r>
      <w:r>
        <w:rPr>
          <w:shd w:fill="DBE5F1" w:color="auto" w:val="clear"/>
        </w:rPr>
        <w:t>y</w:t>
      </w:r>
      <w:r>
        <w:rPr>
          <w:spacing w:val="-3"/>
          <w:shd w:fill="DBE5F1" w:color="auto" w:val="clear"/>
        </w:rPr>
        <w:t> </w:t>
      </w:r>
      <w:r>
        <w:rPr>
          <w:shd w:fill="DBE5F1" w:color="auto" w:val="clear"/>
        </w:rPr>
        <w:t>la</w:t>
      </w:r>
      <w:r>
        <w:rPr>
          <w:spacing w:val="-4"/>
          <w:shd w:fill="DBE5F1" w:color="auto" w:val="clear"/>
        </w:rPr>
        <w:t> </w:t>
      </w:r>
      <w:r>
        <w:rPr>
          <w:shd w:fill="DBE5F1" w:color="auto" w:val="clear"/>
        </w:rPr>
        <w:t>verdadera</w:t>
      </w:r>
      <w:r>
        <w:rPr>
          <w:spacing w:val="-4"/>
          <w:shd w:fill="DBE5F1" w:color="auto" w:val="clear"/>
        </w:rPr>
        <w:t> </w:t>
      </w:r>
      <w:r>
        <w:rPr>
          <w:shd w:fill="DBE5F1" w:color="auto" w:val="clear"/>
        </w:rPr>
        <w:t>implementación</w:t>
      </w:r>
      <w:r>
        <w:rPr>
          <w:spacing w:val="-5"/>
          <w:shd w:fill="DBE5F1" w:color="auto" w:val="clear"/>
        </w:rPr>
        <w:t> </w:t>
      </w:r>
      <w:r>
        <w:rPr>
          <w:shd w:fill="DBE5F1" w:color="auto" w:val="clear"/>
        </w:rPr>
        <w:t>de</w:t>
      </w:r>
      <w:r>
        <w:rPr>
          <w:spacing w:val="-3"/>
          <w:shd w:fill="DBE5F1" w:color="auto" w:val="clear"/>
        </w:rPr>
        <w:t> </w:t>
      </w:r>
      <w:r>
        <w:rPr>
          <w:shd w:fill="DBE5F1" w:color="auto" w:val="clear"/>
        </w:rPr>
        <w:t>estas</w:t>
      </w:r>
      <w:r>
        <w:rPr>
          <w:spacing w:val="-3"/>
          <w:shd w:fill="DBE5F1" w:color="auto" w:val="clear"/>
        </w:rPr>
        <w:t> </w:t>
      </w:r>
      <w:r>
        <w:rPr>
          <w:shd w:fill="DBE5F1" w:color="auto" w:val="clear"/>
        </w:rPr>
        <w:t>acciones.</w:t>
        <w:tab/>
      </w:r>
    </w:p>
    <w:p>
      <w:pPr>
        <w:pStyle w:val="BodyText"/>
        <w:spacing w:before="5"/>
        <w:rPr>
          <w:sz w:val="13"/>
        </w:rPr>
      </w:pPr>
    </w:p>
    <w:p>
      <w:pPr>
        <w:pStyle w:val="BodyText"/>
        <w:tabs>
          <w:tab w:pos="15388" w:val="left" w:leader="none"/>
        </w:tabs>
        <w:spacing w:before="92"/>
        <w:ind w:left="240"/>
      </w:pPr>
      <w:r>
        <w:rPr/>
        <w:pict>
          <v:shape style="position:absolute;margin-left:18.5pt;margin-top:24.64887pt;width:755pt;height:21.9pt;mso-position-horizontal-relative:page;mso-position-vertical-relative:paragraph;z-index:-251626496;mso-wrap-distance-left:0;mso-wrap-distance-right:0" type="#_x0000_t202" filled="false" stroked="true" strokeweight="1pt" strokecolor="#8496b0">
            <v:textbox inset="0,0,0,0">
              <w:txbxContent>
                <w:p>
                  <w:pPr>
                    <w:pStyle w:val="BodyText"/>
                    <w:spacing w:before="58"/>
                    <w:ind w:left="48"/>
                  </w:pPr>
                  <w:r>
                    <w:rPr/>
                    <w:t>Análisis de las metas de 2021-22 se llevará a cabo durante el ciclo de actualización de 2022-23.</w:t>
                  </w:r>
                </w:p>
              </w:txbxContent>
            </v:textbox>
            <v:stroke dashstyle="solid"/>
            <w10:wrap type="topAndBottom"/>
          </v:shape>
        </w:pict>
      </w:r>
      <w:r>
        <w:rPr>
          <w:shd w:fill="DBE5F1" w:color="auto" w:val="clear"/>
        </w:rPr>
        <w:t>Una explicación de las diferencias materiales entre los Gastos Presupuestados y Estimados Gastos</w:t>
      </w:r>
      <w:r>
        <w:rPr>
          <w:spacing w:val="-39"/>
          <w:shd w:fill="DBE5F1" w:color="auto" w:val="clear"/>
        </w:rPr>
        <w:t> </w:t>
      </w:r>
      <w:r>
        <w:rPr>
          <w:shd w:fill="DBE5F1" w:color="auto" w:val="clear"/>
        </w:rPr>
        <w:t>Reales.</w:t>
        <w:tab/>
      </w:r>
    </w:p>
    <w:p>
      <w:pPr>
        <w:pStyle w:val="BodyText"/>
        <w:spacing w:before="5"/>
        <w:rPr>
          <w:sz w:val="13"/>
        </w:rPr>
      </w:pPr>
    </w:p>
    <w:p>
      <w:pPr>
        <w:pStyle w:val="BodyText"/>
        <w:tabs>
          <w:tab w:pos="15388" w:val="left" w:leader="none"/>
        </w:tabs>
        <w:spacing w:before="92"/>
        <w:ind w:left="240"/>
      </w:pPr>
      <w:r>
        <w:rPr/>
        <w:pict>
          <v:shape style="position:absolute;margin-left:18.5pt;margin-top:24.648863pt;width:755pt;height:21.9pt;mso-position-horizontal-relative:page;mso-position-vertical-relative:paragraph;z-index:-251625472;mso-wrap-distance-left:0;mso-wrap-distance-right:0" type="#_x0000_t202" filled="false" stroked="true" strokeweight="1pt" strokecolor="#8496b0">
            <v:textbox inset="0,0,0,0">
              <w:txbxContent>
                <w:p>
                  <w:pPr>
                    <w:pStyle w:val="BodyText"/>
                    <w:spacing w:before="58"/>
                    <w:ind w:left="48"/>
                  </w:pPr>
                  <w:r>
                    <w:rPr/>
                    <w:t>Análisis de las metas de 2021-22 se llevará a cabo durante el ciclo de actualización de 2022-23.</w:t>
                  </w:r>
                </w:p>
              </w:txbxContent>
            </v:textbox>
            <v:stroke dashstyle="solid"/>
            <w10:wrap type="topAndBottom"/>
          </v:shape>
        </w:pict>
      </w:r>
      <w:r>
        <w:rPr/>
        <w:pict>
          <v:shape style="position:absolute;margin-left:16.549999pt;margin-top:60.847851pt;width:758.9pt;height:27.6pt;mso-position-horizontal-relative:page;mso-position-vertical-relative:paragraph;z-index:-251624448;mso-wrap-distance-left:0;mso-wrap-distance-right:0" type="#_x0000_t202" filled="true" fillcolor="#dbe5f1" stroked="false">
            <v:textbox inset="0,0,0,0">
              <w:txbxContent>
                <w:p>
                  <w:pPr>
                    <w:pStyle w:val="BodyText"/>
                    <w:ind w:left="29" w:right="773"/>
                  </w:pPr>
                  <w:r>
                    <w:rPr/>
                    <w:t>Una descripción sobre cualquier cambio hecho a la meta planeada, medidas, resultados deseados o acciones para el próximo año que resultó de reflexiones sobre previa práctica.</w:t>
                  </w:r>
                </w:p>
              </w:txbxContent>
            </v:textbox>
            <v:fill type="solid"/>
            <w10:wrap type="topAndBottom"/>
          </v:shape>
        </w:pict>
      </w:r>
      <w:r>
        <w:rPr/>
        <w:pict>
          <v:shape style="position:absolute;margin-left:18.5pt;margin-top:94.695862pt;width:755pt;height:21.9pt;mso-position-horizontal-relative:page;mso-position-vertical-relative:paragraph;z-index:-251623424;mso-wrap-distance-left:0;mso-wrap-distance-right:0" type="#_x0000_t202" filled="false" stroked="true" strokeweight="1pt" strokecolor="#8496b0">
            <v:textbox inset="0,0,0,0">
              <w:txbxContent>
                <w:p>
                  <w:pPr>
                    <w:pStyle w:val="BodyText"/>
                    <w:spacing w:before="58"/>
                    <w:ind w:left="48"/>
                  </w:pPr>
                  <w:r>
                    <w:rPr/>
                    <w:t>Análisis de las metas de 2021-22 se llevará a cabo durante el ciclo de actualización de 2022-23.</w:t>
                  </w:r>
                </w:p>
              </w:txbxContent>
            </v:textbox>
            <v:stroke dashstyle="solid"/>
            <w10:wrap type="topAndBottom"/>
          </v:shape>
        </w:pict>
      </w:r>
      <w:r>
        <w:rPr>
          <w:shd w:fill="DBE5F1" w:color="auto" w:val="clear"/>
        </w:rPr>
        <w:t>Una</w:t>
      </w:r>
      <w:r>
        <w:rPr>
          <w:spacing w:val="-4"/>
          <w:shd w:fill="DBE5F1" w:color="auto" w:val="clear"/>
        </w:rPr>
        <w:t> </w:t>
      </w:r>
      <w:r>
        <w:rPr>
          <w:shd w:fill="DBE5F1" w:color="auto" w:val="clear"/>
        </w:rPr>
        <w:t>explicación</w:t>
      </w:r>
      <w:r>
        <w:rPr>
          <w:spacing w:val="-4"/>
          <w:shd w:fill="DBE5F1" w:color="auto" w:val="clear"/>
        </w:rPr>
        <w:t> </w:t>
      </w:r>
      <w:r>
        <w:rPr>
          <w:shd w:fill="DBE5F1" w:color="auto" w:val="clear"/>
        </w:rPr>
        <w:t>sobre</w:t>
      </w:r>
      <w:r>
        <w:rPr>
          <w:spacing w:val="-3"/>
          <w:shd w:fill="DBE5F1" w:color="auto" w:val="clear"/>
        </w:rPr>
        <w:t> </w:t>
      </w:r>
      <w:r>
        <w:rPr>
          <w:shd w:fill="DBE5F1" w:color="auto" w:val="clear"/>
        </w:rPr>
        <w:t>qué</w:t>
      </w:r>
      <w:r>
        <w:rPr>
          <w:spacing w:val="-4"/>
          <w:shd w:fill="DBE5F1" w:color="auto" w:val="clear"/>
        </w:rPr>
        <w:t> </w:t>
      </w:r>
      <w:r>
        <w:rPr>
          <w:shd w:fill="DBE5F1" w:color="auto" w:val="clear"/>
        </w:rPr>
        <w:t>tan</w:t>
      </w:r>
      <w:r>
        <w:rPr>
          <w:spacing w:val="-4"/>
          <w:shd w:fill="DBE5F1" w:color="auto" w:val="clear"/>
        </w:rPr>
        <w:t> </w:t>
      </w:r>
      <w:r>
        <w:rPr>
          <w:shd w:fill="DBE5F1" w:color="auto" w:val="clear"/>
        </w:rPr>
        <w:t>efectivas</w:t>
      </w:r>
      <w:r>
        <w:rPr>
          <w:spacing w:val="-3"/>
          <w:shd w:fill="DBE5F1" w:color="auto" w:val="clear"/>
        </w:rPr>
        <w:t> </w:t>
      </w:r>
      <w:r>
        <w:rPr>
          <w:shd w:fill="DBE5F1" w:color="auto" w:val="clear"/>
        </w:rPr>
        <w:t>fueron</w:t>
      </w:r>
      <w:r>
        <w:rPr>
          <w:spacing w:val="-4"/>
          <w:shd w:fill="DBE5F1" w:color="auto" w:val="clear"/>
        </w:rPr>
        <w:t> </w:t>
      </w:r>
      <w:r>
        <w:rPr>
          <w:shd w:fill="DBE5F1" w:color="auto" w:val="clear"/>
        </w:rPr>
        <w:t>las</w:t>
      </w:r>
      <w:r>
        <w:rPr>
          <w:spacing w:val="-4"/>
          <w:shd w:fill="DBE5F1" w:color="auto" w:val="clear"/>
        </w:rPr>
        <w:t> </w:t>
      </w:r>
      <w:r>
        <w:rPr>
          <w:shd w:fill="DBE5F1" w:color="auto" w:val="clear"/>
        </w:rPr>
        <w:t>acciones</w:t>
      </w:r>
      <w:r>
        <w:rPr>
          <w:spacing w:val="-3"/>
          <w:shd w:fill="DBE5F1" w:color="auto" w:val="clear"/>
        </w:rPr>
        <w:t> </w:t>
      </w:r>
      <w:r>
        <w:rPr>
          <w:shd w:fill="DBE5F1" w:color="auto" w:val="clear"/>
        </w:rPr>
        <w:t>específicas</w:t>
      </w:r>
      <w:r>
        <w:rPr>
          <w:spacing w:val="-3"/>
          <w:shd w:fill="DBE5F1" w:color="auto" w:val="clear"/>
        </w:rPr>
        <w:t> </w:t>
      </w:r>
      <w:r>
        <w:rPr>
          <w:shd w:fill="DBE5F1" w:color="auto" w:val="clear"/>
        </w:rPr>
        <w:t>en</w:t>
      </w:r>
      <w:r>
        <w:rPr>
          <w:spacing w:val="-3"/>
          <w:shd w:fill="DBE5F1" w:color="auto" w:val="clear"/>
        </w:rPr>
        <w:t> </w:t>
      </w:r>
      <w:r>
        <w:rPr>
          <w:shd w:fill="DBE5F1" w:color="auto" w:val="clear"/>
        </w:rPr>
        <w:t>lograr</w:t>
      </w:r>
      <w:r>
        <w:rPr>
          <w:spacing w:val="-5"/>
          <w:shd w:fill="DBE5F1" w:color="auto" w:val="clear"/>
        </w:rPr>
        <w:t> </w:t>
      </w:r>
      <w:r>
        <w:rPr>
          <w:shd w:fill="DBE5F1" w:color="auto" w:val="clear"/>
        </w:rPr>
        <w:t>progreso</w:t>
      </w:r>
      <w:r>
        <w:rPr>
          <w:spacing w:val="-4"/>
          <w:shd w:fill="DBE5F1" w:color="auto" w:val="clear"/>
        </w:rPr>
        <w:t> </w:t>
      </w:r>
      <w:r>
        <w:rPr>
          <w:shd w:fill="DBE5F1" w:color="auto" w:val="clear"/>
        </w:rPr>
        <w:t>hacia</w:t>
      </w:r>
      <w:r>
        <w:rPr>
          <w:spacing w:val="-3"/>
          <w:shd w:fill="DBE5F1" w:color="auto" w:val="clear"/>
        </w:rPr>
        <w:t> </w:t>
      </w:r>
      <w:r>
        <w:rPr>
          <w:shd w:fill="DBE5F1" w:color="auto" w:val="clear"/>
        </w:rPr>
        <w:t>la</w:t>
      </w:r>
      <w:r>
        <w:rPr>
          <w:spacing w:val="-3"/>
          <w:shd w:fill="DBE5F1" w:color="auto" w:val="clear"/>
        </w:rPr>
        <w:t> </w:t>
      </w:r>
      <w:r>
        <w:rPr>
          <w:shd w:fill="DBE5F1" w:color="auto" w:val="clear"/>
        </w:rPr>
        <w:t>meta.</w:t>
        <w:tab/>
      </w:r>
    </w:p>
    <w:p>
      <w:pPr>
        <w:pStyle w:val="BodyText"/>
        <w:spacing w:before="4"/>
        <w:rPr>
          <w:sz w:val="19"/>
        </w:rPr>
      </w:pPr>
    </w:p>
    <w:p>
      <w:pPr>
        <w:pStyle w:val="BodyText"/>
        <w:spacing w:before="3"/>
        <w:rPr>
          <w:sz w:val="5"/>
        </w:rPr>
      </w:pPr>
    </w:p>
    <w:p>
      <w:pPr>
        <w:pStyle w:val="BodyText"/>
        <w:spacing w:before="5"/>
        <w:rPr>
          <w:sz w:val="13"/>
        </w:rPr>
      </w:pPr>
    </w:p>
    <w:p>
      <w:pPr>
        <w:spacing w:before="92"/>
        <w:ind w:left="240" w:right="495" w:firstLine="0"/>
        <w:jc w:val="left"/>
        <w:rPr>
          <w:b/>
          <w:sz w:val="24"/>
        </w:rPr>
      </w:pPr>
      <w:r>
        <w:rPr>
          <w:b/>
          <w:sz w:val="24"/>
        </w:rPr>
        <w:t>Un informe de los Estimados Gastos Verdaderos para las acciones del año pasado se puede encontrar en la Tabla de Gastos para Actualización Anual.</w:t>
      </w:r>
    </w:p>
    <w:p>
      <w:pPr>
        <w:spacing w:after="0"/>
        <w:jc w:val="left"/>
        <w:rPr>
          <w:sz w:val="24"/>
        </w:rPr>
        <w:sectPr>
          <w:pgSz w:w="15840" w:h="12240" w:orient="landscape"/>
          <w:pgMar w:header="0" w:footer="284" w:top="560" w:bottom="480" w:left="120" w:right="120"/>
        </w:sectPr>
      </w:pPr>
    </w:p>
    <w:p>
      <w:pPr>
        <w:pStyle w:val="BodyText"/>
        <w:rPr>
          <w:b/>
          <w:sz w:val="20"/>
        </w:rPr>
      </w:pPr>
    </w:p>
    <w:p>
      <w:pPr>
        <w:pStyle w:val="BodyText"/>
        <w:rPr>
          <w:b/>
          <w:sz w:val="20"/>
        </w:rPr>
      </w:pPr>
    </w:p>
    <w:p>
      <w:pPr>
        <w:pStyle w:val="BodyText"/>
        <w:spacing w:before="6"/>
        <w:rPr>
          <w:b/>
          <w:sz w:val="25"/>
        </w:rPr>
      </w:pPr>
    </w:p>
    <w:p>
      <w:pPr>
        <w:spacing w:before="88"/>
        <w:ind w:left="240" w:right="0" w:firstLine="0"/>
        <w:jc w:val="left"/>
        <w:rPr>
          <w:b/>
          <w:sz w:val="36"/>
        </w:rPr>
      </w:pPr>
      <w:r>
        <w:rPr/>
        <w:pict>
          <v:shape style="position:absolute;margin-left:11.425pt;margin-top:-37.77219pt;width:769.15pt;height:27.25pt;mso-position-horizontal-relative:page;mso-position-vertical-relative:paragraph;z-index:251696128" type="#_x0000_t202" filled="true" fillcolor="#dbe5f1" stroked="true" strokeweight="2.25pt" strokecolor="#000000">
            <v:textbox inset="0,0,0,0">
              <w:txbxContent>
                <w:p>
                  <w:pPr>
                    <w:spacing w:before="20"/>
                    <w:ind w:left="108" w:right="0" w:firstLine="0"/>
                    <w:jc w:val="left"/>
                    <w:rPr>
                      <w:b/>
                      <w:sz w:val="40"/>
                    </w:rPr>
                  </w:pPr>
                  <w:hyperlink r:id="rId18">
                    <w:r>
                      <w:rPr>
                        <w:b/>
                        <w:sz w:val="40"/>
                      </w:rPr>
                      <w:t>Metas y Acciones</w:t>
                    </w:r>
                  </w:hyperlink>
                </w:p>
              </w:txbxContent>
            </v:textbox>
            <v:fill type="solid"/>
            <v:stroke dashstyle="solid"/>
            <w10:wrap type="none"/>
          </v:shape>
        </w:pict>
      </w:r>
      <w:bookmarkStart w:name="Metas y Acciones" w:id="22"/>
      <w:bookmarkEnd w:id="22"/>
      <w:r>
        <w:rPr/>
      </w:r>
      <w:bookmarkStart w:name="Meta" w:id="23"/>
      <w:bookmarkEnd w:id="23"/>
      <w:r>
        <w:rPr/>
      </w:r>
      <w:hyperlink r:id="rId19">
        <w:r>
          <w:rPr>
            <w:b/>
            <w:sz w:val="36"/>
          </w:rPr>
          <w:t>Meta</w:t>
        </w:r>
      </w:hyperlink>
    </w:p>
    <w:p>
      <w:pPr>
        <w:pStyle w:val="BodyText"/>
        <w:rPr>
          <w:b/>
          <w:sz w:val="10"/>
        </w:rPr>
      </w:pPr>
    </w:p>
    <w:tbl>
      <w:tblPr>
        <w:tblW w:w="0" w:type="auto"/>
        <w:jc w:val="left"/>
        <w:tblInd w:w="250" w:type="dxa"/>
        <w:tblBorders>
          <w:top w:val="single" w:sz="4" w:space="0" w:color="8496B0"/>
          <w:left w:val="single" w:sz="4" w:space="0" w:color="8496B0"/>
          <w:bottom w:val="single" w:sz="4" w:space="0" w:color="8496B0"/>
          <w:right w:val="single" w:sz="4" w:space="0" w:color="8496B0"/>
          <w:insideH w:val="single" w:sz="4" w:space="0" w:color="8496B0"/>
          <w:insideV w:val="single" w:sz="4" w:space="0" w:color="8496B0"/>
        </w:tblBorders>
        <w:tblLayout w:type="fixed"/>
        <w:tblCellMar>
          <w:top w:w="0" w:type="dxa"/>
          <w:left w:w="0" w:type="dxa"/>
          <w:bottom w:w="0" w:type="dxa"/>
          <w:right w:w="0" w:type="dxa"/>
        </w:tblCellMar>
        <w:tblLook w:val="01E0"/>
      </w:tblPr>
      <w:tblGrid>
        <w:gridCol w:w="1985"/>
        <w:gridCol w:w="13125"/>
      </w:tblGrid>
      <w:tr>
        <w:trPr>
          <w:trHeight w:val="417" w:hRule="atLeast"/>
        </w:trPr>
        <w:tc>
          <w:tcPr>
            <w:tcW w:w="1985" w:type="dxa"/>
            <w:shd w:val="clear" w:color="auto" w:fill="DBE5F1"/>
          </w:tcPr>
          <w:p>
            <w:pPr>
              <w:pStyle w:val="TableParagraph"/>
              <w:spacing w:before="58"/>
              <w:ind w:left="598" w:right="589"/>
              <w:jc w:val="center"/>
              <w:rPr>
                <w:b/>
                <w:sz w:val="24"/>
              </w:rPr>
            </w:pPr>
            <w:r>
              <w:rPr>
                <w:b/>
                <w:sz w:val="24"/>
              </w:rPr>
              <w:t>Meta #</w:t>
            </w:r>
          </w:p>
        </w:tc>
        <w:tc>
          <w:tcPr>
            <w:tcW w:w="13125" w:type="dxa"/>
            <w:shd w:val="clear" w:color="auto" w:fill="DBE5F1"/>
          </w:tcPr>
          <w:p>
            <w:pPr>
              <w:pStyle w:val="TableParagraph"/>
              <w:spacing w:before="58"/>
              <w:ind w:left="58"/>
              <w:rPr>
                <w:b/>
                <w:sz w:val="24"/>
              </w:rPr>
            </w:pPr>
            <w:r>
              <w:rPr>
                <w:b/>
                <w:sz w:val="24"/>
              </w:rPr>
              <w:t>Descripción</w:t>
            </w:r>
          </w:p>
        </w:tc>
      </w:tr>
      <w:tr>
        <w:trPr>
          <w:trHeight w:val="1161" w:hRule="atLeast"/>
        </w:trPr>
        <w:tc>
          <w:tcPr>
            <w:tcW w:w="1985" w:type="dxa"/>
          </w:tcPr>
          <w:p>
            <w:pPr>
              <w:pStyle w:val="TableParagraph"/>
              <w:spacing w:before="58"/>
              <w:ind w:left="9"/>
              <w:jc w:val="center"/>
              <w:rPr>
                <w:b/>
                <w:sz w:val="24"/>
              </w:rPr>
            </w:pPr>
            <w:r>
              <w:rPr>
                <w:b/>
                <w:sz w:val="24"/>
              </w:rPr>
              <w:t>3</w:t>
            </w:r>
          </w:p>
        </w:tc>
        <w:tc>
          <w:tcPr>
            <w:tcW w:w="13125" w:type="dxa"/>
          </w:tcPr>
          <w:p>
            <w:pPr>
              <w:pStyle w:val="TableParagraph"/>
              <w:spacing w:before="58"/>
              <w:ind w:left="58" w:right="1056"/>
              <w:rPr>
                <w:sz w:val="24"/>
              </w:rPr>
            </w:pPr>
            <w:r>
              <w:rPr>
                <w:sz w:val="24"/>
              </w:rPr>
              <w:t>Instrucción en Artes Visuales y Escénicas en todos los niveles de años que desafía académicamente a todos los alumnos.</w:t>
            </w:r>
          </w:p>
          <w:p>
            <w:pPr>
              <w:pStyle w:val="TableParagraph"/>
              <w:ind w:left="58"/>
              <w:rPr>
                <w:sz w:val="24"/>
              </w:rPr>
            </w:pPr>
            <w:r>
              <w:rPr>
                <w:sz w:val="24"/>
              </w:rPr>
              <w:t>Prioridades: 7</w:t>
            </w:r>
          </w:p>
        </w:tc>
      </w:tr>
    </w:tbl>
    <w:p>
      <w:pPr>
        <w:pStyle w:val="BodyText"/>
        <w:spacing w:before="10"/>
        <w:rPr>
          <w:b/>
          <w:sz w:val="7"/>
        </w:rPr>
      </w:pPr>
      <w:r>
        <w:rPr/>
        <w:pict>
          <v:shape style="position:absolute;margin-left:16.549999pt;margin-top:5.749992pt;width:758.9pt;height:13.8pt;mso-position-horizontal-relative:page;mso-position-vertical-relative:paragraph;z-index:-251622400;mso-wrap-distance-left:0;mso-wrap-distance-right:0" type="#_x0000_t202" filled="true" fillcolor="#dbe5f1" stroked="false">
            <v:textbox inset="0,0,0,0">
              <w:txbxContent>
                <w:p>
                  <w:pPr>
                    <w:pStyle w:val="BodyText"/>
                    <w:ind w:left="29"/>
                  </w:pPr>
                  <w:hyperlink r:id="rId20">
                    <w:r>
                      <w:rPr/>
                      <w:t>Una explicación sobre por qué el LEA ha desarrollado esta meta.</w:t>
                    </w:r>
                  </w:hyperlink>
                </w:p>
              </w:txbxContent>
            </v:textbox>
            <v:fill type="solid"/>
            <w10:wrap type="topAndBottom"/>
          </v:shape>
        </w:pict>
      </w:r>
    </w:p>
    <w:p>
      <w:pPr>
        <w:pStyle w:val="BodyText"/>
        <w:spacing w:before="8"/>
        <w:rPr>
          <w:b/>
          <w:sz w:val="2"/>
        </w:rPr>
      </w:pPr>
    </w:p>
    <w:p>
      <w:pPr>
        <w:pStyle w:val="BodyText"/>
        <w:ind w:left="240"/>
        <w:rPr>
          <w:sz w:val="20"/>
        </w:rPr>
      </w:pPr>
      <w:r>
        <w:rPr>
          <w:position w:val="0"/>
          <w:sz w:val="20"/>
        </w:rPr>
        <w:pict>
          <v:shape style="width:755pt;height:114.3pt;mso-position-horizontal-relative:char;mso-position-vertical-relative:line" type="#_x0000_t202" filled="false" stroked="true" strokeweight="1pt" strokecolor="#8496b0">
            <w10:anchorlock/>
            <v:textbox inset="0,0,0,0">
              <w:txbxContent>
                <w:p>
                  <w:pPr>
                    <w:pStyle w:val="BodyText"/>
                    <w:spacing w:before="58"/>
                    <w:ind w:left="48" w:right="177"/>
                  </w:pPr>
                  <w:r>
                    <w:rPr/>
                    <w:t>El Distrito Escolar Primario de Winship-Robbins (W-RESD, por sus siglas en inglés) cree que la instrucción en artes visuales y escénicases parte de un curso de estudio general y permite a los alumnos expresarse usando el lado creativo de sus cerebros. Al utilizar encuestas de padres, alumnos, y maestros, creemos que algún tipo de artes visuales y escénicas ayudará a nuestros alumnos a tener éxito y desarrollarse tanto académica como socioemocionalmente. Hay mucho artículos que apoyan la enseñanza del arte que a menudo afirman que la participación en las artes se asocia con avances en matemáticas, lectura, capacidad cognitiva, razonamiento crítico y habilidades verbales. El arte también puede mejorar la motivación, la concentración, la confianza y el trabajo en equipo. Las medidas de la Meta 3, cuando se agrupan, brindan instrucción artística con un currículo y suministros que no solo enseñarán a los alumnos sobre técnicas de arte y los grandes maestros, sino que tanbién les permitirán expresarse y desarrollarse académica y socioemocionalmente.</w:t>
                  </w:r>
                </w:p>
              </w:txbxContent>
            </v:textbox>
            <v:stroke dashstyle="solid"/>
          </v:shape>
        </w:pict>
      </w:r>
      <w:r>
        <w:rPr>
          <w:position w:val="0"/>
          <w:sz w:val="20"/>
        </w:rPr>
      </w:r>
    </w:p>
    <w:p>
      <w:pPr>
        <w:spacing w:before="165"/>
        <w:ind w:left="240" w:right="0" w:firstLine="0"/>
        <w:jc w:val="left"/>
        <w:rPr>
          <w:b/>
          <w:sz w:val="36"/>
        </w:rPr>
      </w:pPr>
      <w:bookmarkStart w:name="Midiendo y Reportando Resultados" w:id="24"/>
      <w:bookmarkEnd w:id="24"/>
      <w:r>
        <w:rPr/>
      </w:r>
      <w:hyperlink r:id="rId21">
        <w:r>
          <w:rPr>
            <w:b/>
            <w:sz w:val="36"/>
          </w:rPr>
          <w:t>Midiendo y Reportando Resultados</w:t>
        </w:r>
      </w:hyperlink>
    </w:p>
    <w:p>
      <w:pPr>
        <w:pStyle w:val="BodyText"/>
        <w:spacing w:before="11"/>
        <w:rPr>
          <w:b/>
          <w:sz w:val="9"/>
        </w:rPr>
      </w:pPr>
    </w:p>
    <w:tbl>
      <w:tblPr>
        <w:tblW w:w="0" w:type="auto"/>
        <w:jc w:val="left"/>
        <w:tblInd w:w="250"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ayout w:type="fixed"/>
        <w:tblCellMar>
          <w:top w:w="0" w:type="dxa"/>
          <w:left w:w="0" w:type="dxa"/>
          <w:bottom w:w="0" w:type="dxa"/>
          <w:right w:w="0" w:type="dxa"/>
        </w:tblCellMar>
        <w:tblLook w:val="01E0"/>
      </w:tblPr>
      <w:tblGrid>
        <w:gridCol w:w="2518"/>
        <w:gridCol w:w="2518"/>
        <w:gridCol w:w="2519"/>
        <w:gridCol w:w="2518"/>
        <w:gridCol w:w="2518"/>
        <w:gridCol w:w="2519"/>
      </w:tblGrid>
      <w:tr>
        <w:trPr>
          <w:trHeight w:val="667" w:hRule="atLeast"/>
        </w:trPr>
        <w:tc>
          <w:tcPr>
            <w:tcW w:w="2518" w:type="dxa"/>
            <w:shd w:val="clear" w:color="auto" w:fill="DBE5F1"/>
          </w:tcPr>
          <w:p>
            <w:pPr>
              <w:pStyle w:val="TableParagraph"/>
              <w:spacing w:before="196"/>
              <w:ind w:left="845" w:right="835"/>
              <w:jc w:val="center"/>
              <w:rPr>
                <w:sz w:val="24"/>
              </w:rPr>
            </w:pPr>
            <w:r>
              <w:rPr>
                <w:sz w:val="24"/>
              </w:rPr>
              <w:t>Medida</w:t>
            </w:r>
          </w:p>
        </w:tc>
        <w:tc>
          <w:tcPr>
            <w:tcW w:w="2518" w:type="dxa"/>
            <w:shd w:val="clear" w:color="auto" w:fill="DBE5F1"/>
          </w:tcPr>
          <w:p>
            <w:pPr>
              <w:pStyle w:val="TableParagraph"/>
              <w:spacing w:before="196"/>
              <w:ind w:left="732"/>
              <w:rPr>
                <w:sz w:val="24"/>
              </w:rPr>
            </w:pPr>
            <w:r>
              <w:rPr>
                <w:sz w:val="24"/>
              </w:rPr>
              <w:t>Referente</w:t>
            </w:r>
          </w:p>
        </w:tc>
        <w:tc>
          <w:tcPr>
            <w:tcW w:w="2519" w:type="dxa"/>
            <w:shd w:val="clear" w:color="auto" w:fill="DBE5F1"/>
          </w:tcPr>
          <w:p>
            <w:pPr>
              <w:pStyle w:val="TableParagraph"/>
              <w:spacing w:before="196"/>
              <w:ind w:left="178"/>
              <w:rPr>
                <w:sz w:val="24"/>
              </w:rPr>
            </w:pPr>
            <w:r>
              <w:rPr>
                <w:sz w:val="24"/>
              </w:rPr>
              <w:t>Resultado del Año 1</w:t>
            </w:r>
          </w:p>
        </w:tc>
        <w:tc>
          <w:tcPr>
            <w:tcW w:w="2518" w:type="dxa"/>
            <w:shd w:val="clear" w:color="auto" w:fill="DBE5F1"/>
          </w:tcPr>
          <w:p>
            <w:pPr>
              <w:pStyle w:val="TableParagraph"/>
              <w:spacing w:before="196"/>
              <w:ind w:left="178"/>
              <w:rPr>
                <w:sz w:val="24"/>
              </w:rPr>
            </w:pPr>
            <w:r>
              <w:rPr>
                <w:sz w:val="24"/>
              </w:rPr>
              <w:t>Resultado del Año 2</w:t>
            </w:r>
          </w:p>
        </w:tc>
        <w:tc>
          <w:tcPr>
            <w:tcW w:w="2518" w:type="dxa"/>
            <w:shd w:val="clear" w:color="auto" w:fill="DBE5F1"/>
          </w:tcPr>
          <w:p>
            <w:pPr>
              <w:pStyle w:val="TableParagraph"/>
              <w:spacing w:before="196"/>
              <w:ind w:left="178"/>
              <w:rPr>
                <w:sz w:val="24"/>
              </w:rPr>
            </w:pPr>
            <w:r>
              <w:rPr>
                <w:sz w:val="24"/>
              </w:rPr>
              <w:t>Resultado del Año 3</w:t>
            </w:r>
          </w:p>
        </w:tc>
        <w:tc>
          <w:tcPr>
            <w:tcW w:w="2519" w:type="dxa"/>
            <w:shd w:val="clear" w:color="auto" w:fill="DBE5F1"/>
          </w:tcPr>
          <w:p>
            <w:pPr>
              <w:pStyle w:val="TableParagraph"/>
              <w:spacing w:before="58"/>
              <w:ind w:left="518" w:right="176" w:hanging="314"/>
              <w:rPr>
                <w:sz w:val="24"/>
              </w:rPr>
            </w:pPr>
            <w:r>
              <w:rPr>
                <w:sz w:val="24"/>
              </w:rPr>
              <w:t>Resultado Deseado para 2023–24</w:t>
            </w:r>
          </w:p>
        </w:tc>
      </w:tr>
      <w:tr>
        <w:trPr>
          <w:trHeight w:val="332" w:hRule="atLeast"/>
        </w:trPr>
        <w:tc>
          <w:tcPr>
            <w:tcW w:w="2518" w:type="dxa"/>
            <w:tcBorders>
              <w:bottom w:val="nil"/>
            </w:tcBorders>
          </w:tcPr>
          <w:p>
            <w:pPr>
              <w:pStyle w:val="TableParagraph"/>
              <w:spacing w:line="255" w:lineRule="exact" w:before="58"/>
              <w:ind w:left="58"/>
              <w:rPr>
                <w:sz w:val="24"/>
              </w:rPr>
            </w:pPr>
            <w:r>
              <w:rPr>
                <w:sz w:val="24"/>
              </w:rPr>
              <w:t>Prioridad 7A: Acceso</w:t>
            </w:r>
          </w:p>
        </w:tc>
        <w:tc>
          <w:tcPr>
            <w:tcW w:w="2518" w:type="dxa"/>
            <w:tcBorders>
              <w:bottom w:val="nil"/>
            </w:tcBorders>
          </w:tcPr>
          <w:p>
            <w:pPr>
              <w:pStyle w:val="TableParagraph"/>
              <w:spacing w:line="255" w:lineRule="exact" w:before="58"/>
              <w:ind w:left="58"/>
              <w:rPr>
                <w:sz w:val="24"/>
              </w:rPr>
            </w:pPr>
            <w:r>
              <w:rPr>
                <w:sz w:val="24"/>
              </w:rPr>
              <w:t>Todos los niveles de</w:t>
            </w:r>
          </w:p>
        </w:tc>
        <w:tc>
          <w:tcPr>
            <w:tcW w:w="2519" w:type="dxa"/>
            <w:vMerge w:val="restart"/>
          </w:tcPr>
          <w:p>
            <w:pPr>
              <w:pStyle w:val="TableParagraph"/>
              <w:rPr>
                <w:rFonts w:ascii="Times New Roman"/>
                <w:sz w:val="24"/>
              </w:rPr>
            </w:pPr>
          </w:p>
        </w:tc>
        <w:tc>
          <w:tcPr>
            <w:tcW w:w="2518" w:type="dxa"/>
            <w:vMerge w:val="restart"/>
          </w:tcPr>
          <w:p>
            <w:pPr>
              <w:pStyle w:val="TableParagraph"/>
              <w:rPr>
                <w:rFonts w:ascii="Times New Roman"/>
                <w:sz w:val="24"/>
              </w:rPr>
            </w:pPr>
          </w:p>
        </w:tc>
        <w:tc>
          <w:tcPr>
            <w:tcW w:w="2518" w:type="dxa"/>
            <w:vMerge w:val="restart"/>
          </w:tcPr>
          <w:p>
            <w:pPr>
              <w:pStyle w:val="TableParagraph"/>
              <w:rPr>
                <w:rFonts w:ascii="Times New Roman"/>
                <w:sz w:val="24"/>
              </w:rPr>
            </w:pPr>
          </w:p>
        </w:tc>
        <w:tc>
          <w:tcPr>
            <w:tcW w:w="2519" w:type="dxa"/>
            <w:tcBorders>
              <w:bottom w:val="nil"/>
            </w:tcBorders>
          </w:tcPr>
          <w:p>
            <w:pPr>
              <w:pStyle w:val="TableParagraph"/>
              <w:spacing w:line="255" w:lineRule="exact" w:before="58"/>
              <w:ind w:left="57"/>
              <w:rPr>
                <w:sz w:val="24"/>
              </w:rPr>
            </w:pPr>
            <w:r>
              <w:rPr>
                <w:sz w:val="24"/>
              </w:rPr>
              <w:t>Mantener que todos</w:t>
            </w:r>
          </w:p>
        </w:tc>
      </w:tr>
      <w:tr>
        <w:trPr>
          <w:trHeight w:val="265" w:hRule="atLeast"/>
        </w:trPr>
        <w:tc>
          <w:tcPr>
            <w:tcW w:w="2518" w:type="dxa"/>
            <w:tcBorders>
              <w:top w:val="nil"/>
              <w:bottom w:val="nil"/>
            </w:tcBorders>
          </w:tcPr>
          <w:p>
            <w:pPr>
              <w:pStyle w:val="TableParagraph"/>
              <w:spacing w:line="246" w:lineRule="exact"/>
              <w:ind w:left="58"/>
              <w:rPr>
                <w:sz w:val="24"/>
              </w:rPr>
            </w:pPr>
            <w:r>
              <w:rPr>
                <w:sz w:val="24"/>
              </w:rPr>
              <w:t>e inscripción en un</w:t>
            </w:r>
          </w:p>
        </w:tc>
        <w:tc>
          <w:tcPr>
            <w:tcW w:w="2518" w:type="dxa"/>
            <w:tcBorders>
              <w:top w:val="nil"/>
              <w:bottom w:val="nil"/>
            </w:tcBorders>
          </w:tcPr>
          <w:p>
            <w:pPr>
              <w:pStyle w:val="TableParagraph"/>
              <w:spacing w:line="246" w:lineRule="exact"/>
              <w:ind w:left="58"/>
              <w:rPr>
                <w:sz w:val="24"/>
              </w:rPr>
            </w:pPr>
            <w:r>
              <w:rPr>
                <w:sz w:val="24"/>
              </w:rPr>
              <w:t>año reciben</w:t>
            </w:r>
          </w:p>
        </w:tc>
        <w:tc>
          <w:tcPr>
            <w:tcW w:w="2519" w:type="dxa"/>
            <w:vMerge/>
            <w:tcBorders>
              <w:top w:val="nil"/>
            </w:tcBorders>
          </w:tcPr>
          <w:p>
            <w:pPr>
              <w:rPr>
                <w:sz w:val="2"/>
                <w:szCs w:val="2"/>
              </w:rPr>
            </w:pPr>
          </w:p>
        </w:tc>
        <w:tc>
          <w:tcPr>
            <w:tcW w:w="2518" w:type="dxa"/>
            <w:vMerge/>
            <w:tcBorders>
              <w:top w:val="nil"/>
            </w:tcBorders>
          </w:tcPr>
          <w:p>
            <w:pPr>
              <w:rPr>
                <w:sz w:val="2"/>
                <w:szCs w:val="2"/>
              </w:rPr>
            </w:pPr>
          </w:p>
        </w:tc>
        <w:tc>
          <w:tcPr>
            <w:tcW w:w="2518" w:type="dxa"/>
            <w:vMerge/>
            <w:tcBorders>
              <w:top w:val="nil"/>
            </w:tcBorders>
          </w:tcPr>
          <w:p>
            <w:pPr>
              <w:rPr>
                <w:sz w:val="2"/>
                <w:szCs w:val="2"/>
              </w:rPr>
            </w:pPr>
          </w:p>
        </w:tc>
        <w:tc>
          <w:tcPr>
            <w:tcW w:w="2519" w:type="dxa"/>
            <w:tcBorders>
              <w:top w:val="nil"/>
              <w:bottom w:val="nil"/>
            </w:tcBorders>
          </w:tcPr>
          <w:p>
            <w:pPr>
              <w:pStyle w:val="TableParagraph"/>
              <w:spacing w:line="246" w:lineRule="exact"/>
              <w:ind w:left="57"/>
              <w:rPr>
                <w:sz w:val="24"/>
              </w:rPr>
            </w:pPr>
            <w:r>
              <w:rPr>
                <w:sz w:val="24"/>
              </w:rPr>
              <w:t>los niveles de año</w:t>
            </w:r>
          </w:p>
        </w:tc>
      </w:tr>
      <w:tr>
        <w:trPr>
          <w:trHeight w:val="265" w:hRule="atLeast"/>
        </w:trPr>
        <w:tc>
          <w:tcPr>
            <w:tcW w:w="2518" w:type="dxa"/>
            <w:tcBorders>
              <w:top w:val="nil"/>
              <w:bottom w:val="nil"/>
            </w:tcBorders>
          </w:tcPr>
          <w:p>
            <w:pPr>
              <w:pStyle w:val="TableParagraph"/>
              <w:spacing w:line="246" w:lineRule="exact"/>
              <w:ind w:left="58"/>
              <w:rPr>
                <w:sz w:val="24"/>
              </w:rPr>
            </w:pPr>
            <w:r>
              <w:rPr>
                <w:sz w:val="24"/>
              </w:rPr>
              <w:t>curso de estudio</w:t>
            </w:r>
          </w:p>
        </w:tc>
        <w:tc>
          <w:tcPr>
            <w:tcW w:w="2518" w:type="dxa"/>
            <w:tcBorders>
              <w:top w:val="nil"/>
              <w:bottom w:val="nil"/>
            </w:tcBorders>
          </w:tcPr>
          <w:p>
            <w:pPr>
              <w:pStyle w:val="TableParagraph"/>
              <w:spacing w:line="246" w:lineRule="exact"/>
              <w:ind w:left="58"/>
              <w:rPr>
                <w:sz w:val="24"/>
              </w:rPr>
            </w:pPr>
            <w:r>
              <w:rPr>
                <w:sz w:val="24"/>
              </w:rPr>
              <w:t>instrucción de arte 12</w:t>
            </w:r>
          </w:p>
        </w:tc>
        <w:tc>
          <w:tcPr>
            <w:tcW w:w="2519" w:type="dxa"/>
            <w:vMerge/>
            <w:tcBorders>
              <w:top w:val="nil"/>
            </w:tcBorders>
          </w:tcPr>
          <w:p>
            <w:pPr>
              <w:rPr>
                <w:sz w:val="2"/>
                <w:szCs w:val="2"/>
              </w:rPr>
            </w:pPr>
          </w:p>
        </w:tc>
        <w:tc>
          <w:tcPr>
            <w:tcW w:w="2518" w:type="dxa"/>
            <w:vMerge/>
            <w:tcBorders>
              <w:top w:val="nil"/>
            </w:tcBorders>
          </w:tcPr>
          <w:p>
            <w:pPr>
              <w:rPr>
                <w:sz w:val="2"/>
                <w:szCs w:val="2"/>
              </w:rPr>
            </w:pPr>
          </w:p>
        </w:tc>
        <w:tc>
          <w:tcPr>
            <w:tcW w:w="2518" w:type="dxa"/>
            <w:vMerge/>
            <w:tcBorders>
              <w:top w:val="nil"/>
            </w:tcBorders>
          </w:tcPr>
          <w:p>
            <w:pPr>
              <w:rPr>
                <w:sz w:val="2"/>
                <w:szCs w:val="2"/>
              </w:rPr>
            </w:pPr>
          </w:p>
        </w:tc>
        <w:tc>
          <w:tcPr>
            <w:tcW w:w="2519" w:type="dxa"/>
            <w:tcBorders>
              <w:top w:val="nil"/>
              <w:bottom w:val="nil"/>
            </w:tcBorders>
          </w:tcPr>
          <w:p>
            <w:pPr>
              <w:pStyle w:val="TableParagraph"/>
              <w:spacing w:line="246" w:lineRule="exact"/>
              <w:ind w:left="57"/>
              <w:rPr>
                <w:sz w:val="24"/>
              </w:rPr>
            </w:pPr>
            <w:r>
              <w:rPr>
                <w:sz w:val="24"/>
              </w:rPr>
              <w:t>reciban instrucción de</w:t>
            </w:r>
          </w:p>
        </w:tc>
      </w:tr>
      <w:tr>
        <w:trPr>
          <w:trHeight w:val="265" w:hRule="atLeast"/>
        </w:trPr>
        <w:tc>
          <w:tcPr>
            <w:tcW w:w="2518" w:type="dxa"/>
            <w:tcBorders>
              <w:top w:val="nil"/>
              <w:bottom w:val="nil"/>
            </w:tcBorders>
          </w:tcPr>
          <w:p>
            <w:pPr>
              <w:pStyle w:val="TableParagraph"/>
              <w:spacing w:line="246" w:lineRule="exact"/>
              <w:ind w:left="58"/>
              <w:rPr>
                <w:sz w:val="24"/>
              </w:rPr>
            </w:pPr>
            <w:r>
              <w:rPr>
                <w:sz w:val="24"/>
              </w:rPr>
              <w:t>general</w:t>
            </w:r>
          </w:p>
        </w:tc>
        <w:tc>
          <w:tcPr>
            <w:tcW w:w="2518" w:type="dxa"/>
            <w:tcBorders>
              <w:top w:val="nil"/>
              <w:bottom w:val="nil"/>
            </w:tcBorders>
          </w:tcPr>
          <w:p>
            <w:pPr>
              <w:pStyle w:val="TableParagraph"/>
              <w:spacing w:line="246" w:lineRule="exact"/>
              <w:ind w:left="58"/>
              <w:rPr>
                <w:sz w:val="24"/>
              </w:rPr>
            </w:pPr>
            <w:r>
              <w:rPr>
                <w:sz w:val="24"/>
              </w:rPr>
              <w:t>veces al año.</w:t>
            </w:r>
          </w:p>
        </w:tc>
        <w:tc>
          <w:tcPr>
            <w:tcW w:w="2519" w:type="dxa"/>
            <w:vMerge/>
            <w:tcBorders>
              <w:top w:val="nil"/>
            </w:tcBorders>
          </w:tcPr>
          <w:p>
            <w:pPr>
              <w:rPr>
                <w:sz w:val="2"/>
                <w:szCs w:val="2"/>
              </w:rPr>
            </w:pPr>
          </w:p>
        </w:tc>
        <w:tc>
          <w:tcPr>
            <w:tcW w:w="2518" w:type="dxa"/>
            <w:vMerge/>
            <w:tcBorders>
              <w:top w:val="nil"/>
            </w:tcBorders>
          </w:tcPr>
          <w:p>
            <w:pPr>
              <w:rPr>
                <w:sz w:val="2"/>
                <w:szCs w:val="2"/>
              </w:rPr>
            </w:pPr>
          </w:p>
        </w:tc>
        <w:tc>
          <w:tcPr>
            <w:tcW w:w="2518" w:type="dxa"/>
            <w:vMerge/>
            <w:tcBorders>
              <w:top w:val="nil"/>
            </w:tcBorders>
          </w:tcPr>
          <w:p>
            <w:pPr>
              <w:rPr>
                <w:sz w:val="2"/>
                <w:szCs w:val="2"/>
              </w:rPr>
            </w:pPr>
          </w:p>
        </w:tc>
        <w:tc>
          <w:tcPr>
            <w:tcW w:w="2519" w:type="dxa"/>
            <w:tcBorders>
              <w:top w:val="nil"/>
              <w:bottom w:val="nil"/>
            </w:tcBorders>
          </w:tcPr>
          <w:p>
            <w:pPr>
              <w:pStyle w:val="TableParagraph"/>
              <w:spacing w:line="246" w:lineRule="exact"/>
              <w:ind w:left="57"/>
              <w:rPr>
                <w:sz w:val="24"/>
              </w:rPr>
            </w:pPr>
            <w:r>
              <w:rPr>
                <w:sz w:val="24"/>
              </w:rPr>
              <w:t>artes 12 veces al año.</w:t>
            </w:r>
          </w:p>
        </w:tc>
      </w:tr>
      <w:tr>
        <w:trPr>
          <w:trHeight w:val="265" w:hRule="atLeast"/>
        </w:trPr>
        <w:tc>
          <w:tcPr>
            <w:tcW w:w="2518" w:type="dxa"/>
            <w:tcBorders>
              <w:top w:val="nil"/>
              <w:bottom w:val="nil"/>
            </w:tcBorders>
          </w:tcPr>
          <w:p>
            <w:pPr>
              <w:pStyle w:val="TableParagraph"/>
              <w:spacing w:line="246" w:lineRule="exact"/>
              <w:ind w:left="58"/>
              <w:rPr>
                <w:sz w:val="24"/>
              </w:rPr>
            </w:pPr>
            <w:r>
              <w:rPr>
                <w:sz w:val="24"/>
              </w:rPr>
              <w:t>Fuente: Indicador</w:t>
            </w:r>
          </w:p>
        </w:tc>
        <w:tc>
          <w:tcPr>
            <w:tcW w:w="2518" w:type="dxa"/>
            <w:tcBorders>
              <w:top w:val="nil"/>
              <w:bottom w:val="nil"/>
            </w:tcBorders>
          </w:tcPr>
          <w:p>
            <w:pPr>
              <w:pStyle w:val="TableParagraph"/>
              <w:rPr>
                <w:rFonts w:ascii="Times New Roman"/>
                <w:sz w:val="18"/>
              </w:rPr>
            </w:pPr>
          </w:p>
        </w:tc>
        <w:tc>
          <w:tcPr>
            <w:tcW w:w="2519" w:type="dxa"/>
            <w:vMerge/>
            <w:tcBorders>
              <w:top w:val="nil"/>
            </w:tcBorders>
          </w:tcPr>
          <w:p>
            <w:pPr>
              <w:rPr>
                <w:sz w:val="2"/>
                <w:szCs w:val="2"/>
              </w:rPr>
            </w:pPr>
          </w:p>
        </w:tc>
        <w:tc>
          <w:tcPr>
            <w:tcW w:w="2518" w:type="dxa"/>
            <w:vMerge/>
            <w:tcBorders>
              <w:top w:val="nil"/>
            </w:tcBorders>
          </w:tcPr>
          <w:p>
            <w:pPr>
              <w:rPr>
                <w:sz w:val="2"/>
                <w:szCs w:val="2"/>
              </w:rPr>
            </w:pPr>
          </w:p>
        </w:tc>
        <w:tc>
          <w:tcPr>
            <w:tcW w:w="2518" w:type="dxa"/>
            <w:vMerge/>
            <w:tcBorders>
              <w:top w:val="nil"/>
            </w:tcBorders>
          </w:tcPr>
          <w:p>
            <w:pPr>
              <w:rPr>
                <w:sz w:val="2"/>
                <w:szCs w:val="2"/>
              </w:rPr>
            </w:pPr>
          </w:p>
        </w:tc>
        <w:tc>
          <w:tcPr>
            <w:tcW w:w="2519" w:type="dxa"/>
            <w:tcBorders>
              <w:top w:val="nil"/>
              <w:bottom w:val="nil"/>
            </w:tcBorders>
          </w:tcPr>
          <w:p>
            <w:pPr>
              <w:pStyle w:val="TableParagraph"/>
              <w:rPr>
                <w:rFonts w:ascii="Times New Roman"/>
                <w:sz w:val="18"/>
              </w:rPr>
            </w:pPr>
          </w:p>
        </w:tc>
      </w:tr>
      <w:tr>
        <w:trPr>
          <w:trHeight w:val="601" w:hRule="atLeast"/>
        </w:trPr>
        <w:tc>
          <w:tcPr>
            <w:tcW w:w="2518" w:type="dxa"/>
            <w:tcBorders>
              <w:top w:val="nil"/>
            </w:tcBorders>
          </w:tcPr>
          <w:p>
            <w:pPr>
              <w:pStyle w:val="TableParagraph"/>
              <w:spacing w:line="267" w:lineRule="exact"/>
              <w:ind w:left="58"/>
              <w:rPr>
                <w:sz w:val="24"/>
              </w:rPr>
            </w:pPr>
            <w:r>
              <w:rPr>
                <w:sz w:val="24"/>
              </w:rPr>
              <w:t>local Prioridad 7</w:t>
            </w:r>
          </w:p>
        </w:tc>
        <w:tc>
          <w:tcPr>
            <w:tcW w:w="2518" w:type="dxa"/>
            <w:tcBorders>
              <w:top w:val="nil"/>
            </w:tcBorders>
          </w:tcPr>
          <w:p>
            <w:pPr>
              <w:pStyle w:val="TableParagraph"/>
              <w:rPr>
                <w:rFonts w:ascii="Times New Roman"/>
                <w:sz w:val="24"/>
              </w:rPr>
            </w:pPr>
          </w:p>
        </w:tc>
        <w:tc>
          <w:tcPr>
            <w:tcW w:w="2519" w:type="dxa"/>
            <w:vMerge/>
            <w:tcBorders>
              <w:top w:val="nil"/>
            </w:tcBorders>
          </w:tcPr>
          <w:p>
            <w:pPr>
              <w:rPr>
                <w:sz w:val="2"/>
                <w:szCs w:val="2"/>
              </w:rPr>
            </w:pPr>
          </w:p>
        </w:tc>
        <w:tc>
          <w:tcPr>
            <w:tcW w:w="2518" w:type="dxa"/>
            <w:vMerge/>
            <w:tcBorders>
              <w:top w:val="nil"/>
            </w:tcBorders>
          </w:tcPr>
          <w:p>
            <w:pPr>
              <w:rPr>
                <w:sz w:val="2"/>
                <w:szCs w:val="2"/>
              </w:rPr>
            </w:pPr>
          </w:p>
        </w:tc>
        <w:tc>
          <w:tcPr>
            <w:tcW w:w="2518" w:type="dxa"/>
            <w:vMerge/>
            <w:tcBorders>
              <w:top w:val="nil"/>
            </w:tcBorders>
          </w:tcPr>
          <w:p>
            <w:pPr>
              <w:rPr>
                <w:sz w:val="2"/>
                <w:szCs w:val="2"/>
              </w:rPr>
            </w:pPr>
          </w:p>
        </w:tc>
        <w:tc>
          <w:tcPr>
            <w:tcW w:w="2519" w:type="dxa"/>
            <w:tcBorders>
              <w:top w:val="nil"/>
            </w:tcBorders>
          </w:tcPr>
          <w:p>
            <w:pPr>
              <w:pStyle w:val="TableParagraph"/>
              <w:rPr>
                <w:rFonts w:ascii="Times New Roman"/>
                <w:sz w:val="24"/>
              </w:rPr>
            </w:pPr>
          </w:p>
        </w:tc>
      </w:tr>
    </w:tbl>
    <w:p>
      <w:pPr>
        <w:spacing w:before="184"/>
        <w:ind w:left="240" w:right="0" w:firstLine="0"/>
        <w:jc w:val="left"/>
        <w:rPr>
          <w:b/>
          <w:sz w:val="36"/>
        </w:rPr>
      </w:pPr>
      <w:bookmarkStart w:name="Acciones" w:id="25"/>
      <w:bookmarkEnd w:id="25"/>
      <w:r>
        <w:rPr/>
      </w:r>
      <w:hyperlink r:id="rId22">
        <w:r>
          <w:rPr>
            <w:b/>
            <w:sz w:val="36"/>
          </w:rPr>
          <w:t>Acciones</w:t>
        </w:r>
      </w:hyperlink>
    </w:p>
    <w:p>
      <w:pPr>
        <w:spacing w:after="0"/>
        <w:jc w:val="left"/>
        <w:rPr>
          <w:sz w:val="36"/>
        </w:rPr>
        <w:sectPr>
          <w:pgSz w:w="15840" w:h="12240" w:orient="landscape"/>
          <w:pgMar w:header="0" w:footer="284" w:top="660" w:bottom="560" w:left="120" w:right="120"/>
        </w:sectPr>
      </w:pPr>
    </w:p>
    <w:tbl>
      <w:tblPr>
        <w:tblW w:w="0" w:type="auto"/>
        <w:jc w:val="left"/>
        <w:tblInd w:w="250" w:type="dxa"/>
        <w:tblBorders>
          <w:top w:val="single" w:sz="4" w:space="0" w:color="8496B0"/>
          <w:left w:val="single" w:sz="4" w:space="0" w:color="8496B0"/>
          <w:bottom w:val="single" w:sz="4" w:space="0" w:color="8496B0"/>
          <w:right w:val="single" w:sz="4" w:space="0" w:color="8496B0"/>
          <w:insideH w:val="single" w:sz="4" w:space="0" w:color="8496B0"/>
          <w:insideV w:val="single" w:sz="4" w:space="0" w:color="8496B0"/>
        </w:tblBorders>
        <w:tblLayout w:type="fixed"/>
        <w:tblCellMar>
          <w:top w:w="0" w:type="dxa"/>
          <w:left w:w="0" w:type="dxa"/>
          <w:bottom w:w="0" w:type="dxa"/>
          <w:right w:w="0" w:type="dxa"/>
        </w:tblCellMar>
        <w:tblLook w:val="01E0"/>
      </w:tblPr>
      <w:tblGrid>
        <w:gridCol w:w="1269"/>
        <w:gridCol w:w="2440"/>
        <w:gridCol w:w="7626"/>
        <w:gridCol w:w="2156"/>
        <w:gridCol w:w="1619"/>
      </w:tblGrid>
      <w:tr>
        <w:trPr>
          <w:trHeight w:val="609" w:hRule="atLeast"/>
        </w:trPr>
        <w:tc>
          <w:tcPr>
            <w:tcW w:w="1269" w:type="dxa"/>
            <w:shd w:val="clear" w:color="auto" w:fill="DBE5F1"/>
          </w:tcPr>
          <w:p>
            <w:pPr>
              <w:pStyle w:val="TableParagraph"/>
              <w:spacing w:before="54"/>
              <w:ind w:left="58"/>
              <w:rPr>
                <w:sz w:val="24"/>
              </w:rPr>
            </w:pPr>
            <w:r>
              <w:rPr>
                <w:sz w:val="24"/>
              </w:rPr>
              <w:t>Acción #</w:t>
            </w:r>
          </w:p>
        </w:tc>
        <w:tc>
          <w:tcPr>
            <w:tcW w:w="2440" w:type="dxa"/>
            <w:shd w:val="clear" w:color="auto" w:fill="DBE5F1"/>
          </w:tcPr>
          <w:p>
            <w:pPr>
              <w:pStyle w:val="TableParagraph"/>
              <w:spacing w:before="54"/>
              <w:ind w:left="58"/>
              <w:rPr>
                <w:sz w:val="24"/>
              </w:rPr>
            </w:pPr>
            <w:r>
              <w:rPr>
                <w:sz w:val="24"/>
              </w:rPr>
              <w:t>Título</w:t>
            </w:r>
          </w:p>
        </w:tc>
        <w:tc>
          <w:tcPr>
            <w:tcW w:w="7626" w:type="dxa"/>
            <w:shd w:val="clear" w:color="auto" w:fill="DBE5F1"/>
          </w:tcPr>
          <w:p>
            <w:pPr>
              <w:pStyle w:val="TableParagraph"/>
              <w:spacing w:before="54"/>
              <w:ind w:left="57"/>
              <w:rPr>
                <w:sz w:val="24"/>
              </w:rPr>
            </w:pPr>
            <w:r>
              <w:rPr>
                <w:sz w:val="24"/>
              </w:rPr>
              <w:t>Descripción</w:t>
            </w:r>
          </w:p>
        </w:tc>
        <w:tc>
          <w:tcPr>
            <w:tcW w:w="2156" w:type="dxa"/>
            <w:shd w:val="clear" w:color="auto" w:fill="DBE5F1"/>
          </w:tcPr>
          <w:p>
            <w:pPr>
              <w:pStyle w:val="TableParagraph"/>
              <w:spacing w:before="54"/>
              <w:ind w:left="210"/>
              <w:rPr>
                <w:sz w:val="24"/>
              </w:rPr>
            </w:pPr>
            <w:r>
              <w:rPr>
                <w:sz w:val="24"/>
              </w:rPr>
              <w:t>Total de Fondos</w:t>
            </w:r>
          </w:p>
        </w:tc>
        <w:tc>
          <w:tcPr>
            <w:tcW w:w="1619" w:type="dxa"/>
            <w:shd w:val="clear" w:color="auto" w:fill="DBE5F1"/>
          </w:tcPr>
          <w:p>
            <w:pPr>
              <w:pStyle w:val="TableParagraph"/>
              <w:spacing w:line="270" w:lineRule="atLeast" w:before="54"/>
              <w:ind w:left="742" w:right="67" w:hanging="648"/>
              <w:rPr>
                <w:sz w:val="24"/>
              </w:rPr>
            </w:pPr>
            <w:r>
              <w:rPr>
                <w:sz w:val="24"/>
              </w:rPr>
              <w:t>Contribuyend o</w:t>
            </w:r>
          </w:p>
        </w:tc>
      </w:tr>
      <w:tr>
        <w:trPr>
          <w:trHeight w:val="1437" w:hRule="atLeast"/>
        </w:trPr>
        <w:tc>
          <w:tcPr>
            <w:tcW w:w="1269" w:type="dxa"/>
          </w:tcPr>
          <w:p>
            <w:pPr>
              <w:pStyle w:val="TableParagraph"/>
              <w:spacing w:before="54"/>
              <w:ind w:left="9"/>
              <w:jc w:val="center"/>
              <w:rPr>
                <w:b/>
                <w:sz w:val="24"/>
              </w:rPr>
            </w:pPr>
            <w:r>
              <w:rPr>
                <w:b/>
                <w:sz w:val="24"/>
              </w:rPr>
              <w:t>1</w:t>
            </w:r>
          </w:p>
        </w:tc>
        <w:tc>
          <w:tcPr>
            <w:tcW w:w="2440" w:type="dxa"/>
          </w:tcPr>
          <w:p>
            <w:pPr>
              <w:pStyle w:val="TableParagraph"/>
              <w:spacing w:before="54"/>
              <w:ind w:left="58"/>
              <w:rPr>
                <w:sz w:val="24"/>
              </w:rPr>
            </w:pPr>
            <w:r>
              <w:rPr>
                <w:sz w:val="24"/>
              </w:rPr>
              <w:t>1 Instrucción de arte</w:t>
            </w:r>
          </w:p>
        </w:tc>
        <w:tc>
          <w:tcPr>
            <w:tcW w:w="7626" w:type="dxa"/>
          </w:tcPr>
          <w:p>
            <w:pPr>
              <w:pStyle w:val="TableParagraph"/>
              <w:spacing w:before="54"/>
              <w:ind w:left="57" w:right="255"/>
              <w:rPr>
                <w:sz w:val="24"/>
              </w:rPr>
            </w:pPr>
            <w:r>
              <w:rPr>
                <w:sz w:val="24"/>
              </w:rPr>
              <w:t>Comprar y proporcionar instrucción de arte para todos los niveles de año. Esto aumentará el acceso de los alumnos a los programas y cursos de artes visuales y escénicas.</w:t>
            </w:r>
          </w:p>
        </w:tc>
        <w:tc>
          <w:tcPr>
            <w:tcW w:w="2156" w:type="dxa"/>
          </w:tcPr>
          <w:p>
            <w:pPr>
              <w:pStyle w:val="TableParagraph"/>
              <w:rPr>
                <w:rFonts w:ascii="Times New Roman"/>
                <w:sz w:val="22"/>
              </w:rPr>
            </w:pPr>
          </w:p>
        </w:tc>
        <w:tc>
          <w:tcPr>
            <w:tcW w:w="1619" w:type="dxa"/>
          </w:tcPr>
          <w:p>
            <w:pPr>
              <w:pStyle w:val="TableParagraph"/>
              <w:rPr>
                <w:rFonts w:ascii="Times New Roman"/>
                <w:sz w:val="22"/>
              </w:rPr>
            </w:pPr>
          </w:p>
        </w:tc>
      </w:tr>
      <w:tr>
        <w:trPr>
          <w:trHeight w:val="1437" w:hRule="atLeast"/>
        </w:trPr>
        <w:tc>
          <w:tcPr>
            <w:tcW w:w="1269" w:type="dxa"/>
          </w:tcPr>
          <w:p>
            <w:pPr>
              <w:pStyle w:val="TableParagraph"/>
              <w:spacing w:before="54"/>
              <w:ind w:left="9"/>
              <w:jc w:val="center"/>
              <w:rPr>
                <w:b/>
                <w:sz w:val="24"/>
              </w:rPr>
            </w:pPr>
            <w:r>
              <w:rPr>
                <w:b/>
                <w:sz w:val="24"/>
              </w:rPr>
              <w:t>2</w:t>
            </w:r>
          </w:p>
        </w:tc>
        <w:tc>
          <w:tcPr>
            <w:tcW w:w="2440" w:type="dxa"/>
          </w:tcPr>
          <w:p>
            <w:pPr>
              <w:pStyle w:val="TableParagraph"/>
              <w:spacing w:before="54"/>
              <w:ind w:left="58" w:right="337"/>
              <w:rPr>
                <w:sz w:val="24"/>
              </w:rPr>
            </w:pPr>
            <w:r>
              <w:rPr>
                <w:sz w:val="24"/>
              </w:rPr>
              <w:t>2 Capacitación profesional y suministros para la instrucción de arte</w:t>
            </w:r>
          </w:p>
        </w:tc>
        <w:tc>
          <w:tcPr>
            <w:tcW w:w="7626" w:type="dxa"/>
          </w:tcPr>
          <w:p>
            <w:pPr>
              <w:pStyle w:val="TableParagraph"/>
              <w:spacing w:before="54"/>
              <w:ind w:left="57" w:right="242"/>
              <w:rPr>
                <w:sz w:val="24"/>
              </w:rPr>
            </w:pPr>
            <w:r>
              <w:rPr>
                <w:sz w:val="24"/>
              </w:rPr>
              <w:t>Proporcionar capacitación profesional y suministros a los maestros para apoyar la instrucción de Artes Visuales y Escénicas (VAPA, por sus siglas en inglés)</w:t>
            </w:r>
          </w:p>
        </w:tc>
        <w:tc>
          <w:tcPr>
            <w:tcW w:w="2156" w:type="dxa"/>
          </w:tcPr>
          <w:p>
            <w:pPr>
              <w:pStyle w:val="TableParagraph"/>
              <w:rPr>
                <w:rFonts w:ascii="Times New Roman"/>
                <w:sz w:val="22"/>
              </w:rPr>
            </w:pPr>
          </w:p>
        </w:tc>
        <w:tc>
          <w:tcPr>
            <w:tcW w:w="1619" w:type="dxa"/>
          </w:tcPr>
          <w:p>
            <w:pPr>
              <w:pStyle w:val="TableParagraph"/>
              <w:rPr>
                <w:rFonts w:ascii="Times New Roman"/>
                <w:sz w:val="22"/>
              </w:rPr>
            </w:pPr>
          </w:p>
        </w:tc>
      </w:tr>
    </w:tbl>
    <w:p>
      <w:pPr>
        <w:pStyle w:val="BodyText"/>
        <w:spacing w:before="11"/>
        <w:rPr>
          <w:b/>
          <w:sz w:val="7"/>
        </w:rPr>
      </w:pPr>
    </w:p>
    <w:p>
      <w:pPr>
        <w:spacing w:before="88"/>
        <w:ind w:left="240" w:right="0" w:firstLine="0"/>
        <w:jc w:val="left"/>
        <w:rPr>
          <w:b/>
          <w:sz w:val="36"/>
        </w:rPr>
      </w:pPr>
      <w:bookmarkStart w:name="Análisis de Meta [2021-22]" w:id="26"/>
      <w:bookmarkEnd w:id="26"/>
      <w:r>
        <w:rPr/>
      </w:r>
      <w:hyperlink r:id="rId23">
        <w:r>
          <w:rPr>
            <w:b/>
            <w:sz w:val="36"/>
          </w:rPr>
          <w:t>Análisis de Meta [2021-22]</w:t>
        </w:r>
      </w:hyperlink>
    </w:p>
    <w:p>
      <w:pPr>
        <w:pStyle w:val="BodyText"/>
        <w:ind w:left="240"/>
      </w:pPr>
      <w:r>
        <w:rPr/>
        <w:t>Un análisis sobre como esta meta fue realizada en el previo año.</w:t>
      </w:r>
    </w:p>
    <w:p>
      <w:pPr>
        <w:pStyle w:val="BodyText"/>
        <w:tabs>
          <w:tab w:pos="15388" w:val="left" w:leader="none"/>
        </w:tabs>
        <w:ind w:left="240"/>
      </w:pPr>
      <w:r>
        <w:rPr/>
        <w:pict>
          <v:shape style="position:absolute;margin-left:18.5pt;margin-top:20.048862pt;width:755pt;height:21.9pt;mso-position-horizontal-relative:page;mso-position-vertical-relative:paragraph;z-index:-251619328;mso-wrap-distance-left:0;mso-wrap-distance-right:0" type="#_x0000_t202" filled="false" stroked="true" strokeweight="1pt" strokecolor="#8496b0">
            <v:textbox inset="0,0,0,0">
              <w:txbxContent>
                <w:p>
                  <w:pPr>
                    <w:pStyle w:val="BodyText"/>
                    <w:spacing w:before="58"/>
                    <w:ind w:left="48"/>
                  </w:pPr>
                  <w:r>
                    <w:rPr/>
                    <w:t>Análisis de las metas de 2021-22 se llevará a cabo durante el ciclo de actualización de 2022-23.</w:t>
                  </w:r>
                </w:p>
              </w:txbxContent>
            </v:textbox>
            <v:stroke dashstyle="solid"/>
            <w10:wrap type="topAndBottom"/>
          </v:shape>
        </w:pict>
      </w:r>
      <w:r>
        <w:rPr>
          <w:shd w:fill="DBE5F1" w:color="auto" w:val="clear"/>
        </w:rPr>
        <w:t>Una</w:t>
      </w:r>
      <w:r>
        <w:rPr>
          <w:spacing w:val="-4"/>
          <w:shd w:fill="DBE5F1" w:color="auto" w:val="clear"/>
        </w:rPr>
        <w:t> </w:t>
      </w:r>
      <w:r>
        <w:rPr>
          <w:shd w:fill="DBE5F1" w:color="auto" w:val="clear"/>
        </w:rPr>
        <w:t>descripción</w:t>
      </w:r>
      <w:r>
        <w:rPr>
          <w:spacing w:val="-3"/>
          <w:shd w:fill="DBE5F1" w:color="auto" w:val="clear"/>
        </w:rPr>
        <w:t> </w:t>
      </w:r>
      <w:r>
        <w:rPr>
          <w:shd w:fill="DBE5F1" w:color="auto" w:val="clear"/>
        </w:rPr>
        <w:t>de</w:t>
      </w:r>
      <w:r>
        <w:rPr>
          <w:spacing w:val="-4"/>
          <w:shd w:fill="DBE5F1" w:color="auto" w:val="clear"/>
        </w:rPr>
        <w:t> </w:t>
      </w:r>
      <w:r>
        <w:rPr>
          <w:shd w:fill="DBE5F1" w:color="auto" w:val="clear"/>
        </w:rPr>
        <w:t>cualquier</w:t>
      </w:r>
      <w:r>
        <w:rPr>
          <w:spacing w:val="-4"/>
          <w:shd w:fill="DBE5F1" w:color="auto" w:val="clear"/>
        </w:rPr>
        <w:t> </w:t>
      </w:r>
      <w:r>
        <w:rPr>
          <w:shd w:fill="DBE5F1" w:color="auto" w:val="clear"/>
        </w:rPr>
        <w:t>diferencia</w:t>
      </w:r>
      <w:r>
        <w:rPr>
          <w:spacing w:val="-4"/>
          <w:shd w:fill="DBE5F1" w:color="auto" w:val="clear"/>
        </w:rPr>
        <w:t> </w:t>
      </w:r>
      <w:r>
        <w:rPr>
          <w:shd w:fill="DBE5F1" w:color="auto" w:val="clear"/>
        </w:rPr>
        <w:t>significativa</w:t>
      </w:r>
      <w:r>
        <w:rPr>
          <w:spacing w:val="-4"/>
          <w:shd w:fill="DBE5F1" w:color="auto" w:val="clear"/>
        </w:rPr>
        <w:t> </w:t>
      </w:r>
      <w:r>
        <w:rPr>
          <w:shd w:fill="DBE5F1" w:color="auto" w:val="clear"/>
        </w:rPr>
        <w:t>en</w:t>
      </w:r>
      <w:r>
        <w:rPr>
          <w:spacing w:val="-4"/>
          <w:shd w:fill="DBE5F1" w:color="auto" w:val="clear"/>
        </w:rPr>
        <w:t> </w:t>
      </w:r>
      <w:r>
        <w:rPr>
          <w:shd w:fill="DBE5F1" w:color="auto" w:val="clear"/>
        </w:rPr>
        <w:t>acciones</w:t>
      </w:r>
      <w:r>
        <w:rPr>
          <w:spacing w:val="-3"/>
          <w:shd w:fill="DBE5F1" w:color="auto" w:val="clear"/>
        </w:rPr>
        <w:t> </w:t>
      </w:r>
      <w:r>
        <w:rPr>
          <w:shd w:fill="DBE5F1" w:color="auto" w:val="clear"/>
        </w:rPr>
        <w:t>planeadas</w:t>
      </w:r>
      <w:r>
        <w:rPr>
          <w:spacing w:val="-4"/>
          <w:shd w:fill="DBE5F1" w:color="auto" w:val="clear"/>
        </w:rPr>
        <w:t> </w:t>
      </w:r>
      <w:r>
        <w:rPr>
          <w:shd w:fill="DBE5F1" w:color="auto" w:val="clear"/>
        </w:rPr>
        <w:t>y</w:t>
      </w:r>
      <w:r>
        <w:rPr>
          <w:spacing w:val="-3"/>
          <w:shd w:fill="DBE5F1" w:color="auto" w:val="clear"/>
        </w:rPr>
        <w:t> </w:t>
      </w:r>
      <w:r>
        <w:rPr>
          <w:shd w:fill="DBE5F1" w:color="auto" w:val="clear"/>
        </w:rPr>
        <w:t>la</w:t>
      </w:r>
      <w:r>
        <w:rPr>
          <w:spacing w:val="-4"/>
          <w:shd w:fill="DBE5F1" w:color="auto" w:val="clear"/>
        </w:rPr>
        <w:t> </w:t>
      </w:r>
      <w:r>
        <w:rPr>
          <w:shd w:fill="DBE5F1" w:color="auto" w:val="clear"/>
        </w:rPr>
        <w:t>verdadera</w:t>
      </w:r>
      <w:r>
        <w:rPr>
          <w:spacing w:val="-4"/>
          <w:shd w:fill="DBE5F1" w:color="auto" w:val="clear"/>
        </w:rPr>
        <w:t> </w:t>
      </w:r>
      <w:r>
        <w:rPr>
          <w:shd w:fill="DBE5F1" w:color="auto" w:val="clear"/>
        </w:rPr>
        <w:t>implementación</w:t>
      </w:r>
      <w:r>
        <w:rPr>
          <w:spacing w:val="-5"/>
          <w:shd w:fill="DBE5F1" w:color="auto" w:val="clear"/>
        </w:rPr>
        <w:t> </w:t>
      </w:r>
      <w:r>
        <w:rPr>
          <w:shd w:fill="DBE5F1" w:color="auto" w:val="clear"/>
        </w:rPr>
        <w:t>de</w:t>
      </w:r>
      <w:r>
        <w:rPr>
          <w:spacing w:val="-3"/>
          <w:shd w:fill="DBE5F1" w:color="auto" w:val="clear"/>
        </w:rPr>
        <w:t> </w:t>
      </w:r>
      <w:r>
        <w:rPr>
          <w:shd w:fill="DBE5F1" w:color="auto" w:val="clear"/>
        </w:rPr>
        <w:t>estas</w:t>
      </w:r>
      <w:r>
        <w:rPr>
          <w:spacing w:val="-3"/>
          <w:shd w:fill="DBE5F1" w:color="auto" w:val="clear"/>
        </w:rPr>
        <w:t> </w:t>
      </w:r>
      <w:r>
        <w:rPr>
          <w:shd w:fill="DBE5F1" w:color="auto" w:val="clear"/>
        </w:rPr>
        <w:t>acciones.</w:t>
        <w:tab/>
      </w:r>
    </w:p>
    <w:p>
      <w:pPr>
        <w:pStyle w:val="BodyText"/>
        <w:spacing w:before="5"/>
        <w:rPr>
          <w:sz w:val="13"/>
        </w:rPr>
      </w:pPr>
    </w:p>
    <w:p>
      <w:pPr>
        <w:pStyle w:val="BodyText"/>
        <w:tabs>
          <w:tab w:pos="15388" w:val="left" w:leader="none"/>
        </w:tabs>
        <w:spacing w:before="92"/>
        <w:ind w:left="240"/>
      </w:pPr>
      <w:r>
        <w:rPr/>
        <w:pict>
          <v:shape style="position:absolute;margin-left:18.5pt;margin-top:24.648878pt;width:755pt;height:21.9pt;mso-position-horizontal-relative:page;mso-position-vertical-relative:paragraph;z-index:-251618304;mso-wrap-distance-left:0;mso-wrap-distance-right:0" type="#_x0000_t202" filled="false" stroked="true" strokeweight="1pt" strokecolor="#8496b0">
            <v:textbox inset="0,0,0,0">
              <w:txbxContent>
                <w:p>
                  <w:pPr>
                    <w:pStyle w:val="BodyText"/>
                    <w:spacing w:before="58"/>
                    <w:ind w:left="48"/>
                  </w:pPr>
                  <w:r>
                    <w:rPr/>
                    <w:t>Análisis de las metas de 2021-22 se llevará a cabo durante el ciclo de actualización de 2022-23.</w:t>
                  </w:r>
                </w:p>
              </w:txbxContent>
            </v:textbox>
            <v:stroke dashstyle="solid"/>
            <w10:wrap type="topAndBottom"/>
          </v:shape>
        </w:pict>
      </w:r>
      <w:r>
        <w:rPr>
          <w:shd w:fill="DBE5F1" w:color="auto" w:val="clear"/>
        </w:rPr>
        <w:t>Una explicación de las diferencias materiales entre los Gastos Presupuestados y Estimados Gastos</w:t>
      </w:r>
      <w:r>
        <w:rPr>
          <w:spacing w:val="-39"/>
          <w:shd w:fill="DBE5F1" w:color="auto" w:val="clear"/>
        </w:rPr>
        <w:t> </w:t>
      </w:r>
      <w:r>
        <w:rPr>
          <w:shd w:fill="DBE5F1" w:color="auto" w:val="clear"/>
        </w:rPr>
        <w:t>Reales.</w:t>
        <w:tab/>
      </w:r>
    </w:p>
    <w:p>
      <w:pPr>
        <w:pStyle w:val="BodyText"/>
        <w:spacing w:before="5"/>
        <w:rPr>
          <w:sz w:val="13"/>
        </w:rPr>
      </w:pPr>
    </w:p>
    <w:p>
      <w:pPr>
        <w:pStyle w:val="BodyText"/>
        <w:tabs>
          <w:tab w:pos="15388" w:val="left" w:leader="none"/>
        </w:tabs>
        <w:spacing w:before="92"/>
        <w:ind w:left="240"/>
      </w:pPr>
      <w:r>
        <w:rPr/>
        <w:pict>
          <v:shape style="position:absolute;margin-left:18.5pt;margin-top:24.648848pt;width:755pt;height:21.9pt;mso-position-horizontal-relative:page;mso-position-vertical-relative:paragraph;z-index:-251617280;mso-wrap-distance-left:0;mso-wrap-distance-right:0" type="#_x0000_t202" filled="false" stroked="true" strokeweight="1pt" strokecolor="#8496b0">
            <v:textbox inset="0,0,0,0">
              <w:txbxContent>
                <w:p>
                  <w:pPr>
                    <w:pStyle w:val="BodyText"/>
                    <w:spacing w:before="58"/>
                    <w:ind w:left="48"/>
                  </w:pPr>
                  <w:r>
                    <w:rPr/>
                    <w:t>Análisis de las metas de 2021-22 se llevará a cabo durante el ciclo de actualización de 2022-23.</w:t>
                  </w:r>
                </w:p>
              </w:txbxContent>
            </v:textbox>
            <v:stroke dashstyle="solid"/>
            <w10:wrap type="topAndBottom"/>
          </v:shape>
        </w:pict>
      </w:r>
      <w:r>
        <w:rPr/>
        <w:pict>
          <v:shape style="position:absolute;margin-left:16.549999pt;margin-top:60.847851pt;width:758.9pt;height:27.6pt;mso-position-horizontal-relative:page;mso-position-vertical-relative:paragraph;z-index:-251616256;mso-wrap-distance-left:0;mso-wrap-distance-right:0" type="#_x0000_t202" filled="true" fillcolor="#dbe5f1" stroked="false">
            <v:textbox inset="0,0,0,0">
              <w:txbxContent>
                <w:p>
                  <w:pPr>
                    <w:pStyle w:val="BodyText"/>
                    <w:ind w:left="29" w:right="773"/>
                  </w:pPr>
                  <w:r>
                    <w:rPr/>
                    <w:t>Una descripción sobre cualquier cambio hecho a la meta planeada, medidas, resultados deseados o acciones para el próximo año que resultó de reflexiones sobre previa práctica.</w:t>
                  </w:r>
                </w:p>
              </w:txbxContent>
            </v:textbox>
            <v:fill type="solid"/>
            <w10:wrap type="topAndBottom"/>
          </v:shape>
        </w:pict>
      </w:r>
      <w:r>
        <w:rPr/>
        <w:pict>
          <v:shape style="position:absolute;margin-left:18.5pt;margin-top:94.695847pt;width:755pt;height:21.9pt;mso-position-horizontal-relative:page;mso-position-vertical-relative:paragraph;z-index:-251615232;mso-wrap-distance-left:0;mso-wrap-distance-right:0" type="#_x0000_t202" filled="false" stroked="true" strokeweight="1pt" strokecolor="#8496b0">
            <v:textbox inset="0,0,0,0">
              <w:txbxContent>
                <w:p>
                  <w:pPr>
                    <w:pStyle w:val="BodyText"/>
                    <w:spacing w:before="58"/>
                    <w:ind w:left="48"/>
                  </w:pPr>
                  <w:r>
                    <w:rPr/>
                    <w:t>Análisis de las metas de 2021-22 se llevará a cabo durante el ciclo de actualización de 2022-23.</w:t>
                  </w:r>
                </w:p>
              </w:txbxContent>
            </v:textbox>
            <v:stroke dashstyle="solid"/>
            <w10:wrap type="topAndBottom"/>
          </v:shape>
        </w:pict>
      </w:r>
      <w:r>
        <w:rPr>
          <w:shd w:fill="DBE5F1" w:color="auto" w:val="clear"/>
        </w:rPr>
        <w:t>Una</w:t>
      </w:r>
      <w:r>
        <w:rPr>
          <w:spacing w:val="-4"/>
          <w:shd w:fill="DBE5F1" w:color="auto" w:val="clear"/>
        </w:rPr>
        <w:t> </w:t>
      </w:r>
      <w:r>
        <w:rPr>
          <w:shd w:fill="DBE5F1" w:color="auto" w:val="clear"/>
        </w:rPr>
        <w:t>explicación</w:t>
      </w:r>
      <w:r>
        <w:rPr>
          <w:spacing w:val="-4"/>
          <w:shd w:fill="DBE5F1" w:color="auto" w:val="clear"/>
        </w:rPr>
        <w:t> </w:t>
      </w:r>
      <w:r>
        <w:rPr>
          <w:shd w:fill="DBE5F1" w:color="auto" w:val="clear"/>
        </w:rPr>
        <w:t>sobre</w:t>
      </w:r>
      <w:r>
        <w:rPr>
          <w:spacing w:val="-3"/>
          <w:shd w:fill="DBE5F1" w:color="auto" w:val="clear"/>
        </w:rPr>
        <w:t> </w:t>
      </w:r>
      <w:r>
        <w:rPr>
          <w:shd w:fill="DBE5F1" w:color="auto" w:val="clear"/>
        </w:rPr>
        <w:t>qué</w:t>
      </w:r>
      <w:r>
        <w:rPr>
          <w:spacing w:val="-4"/>
          <w:shd w:fill="DBE5F1" w:color="auto" w:val="clear"/>
        </w:rPr>
        <w:t> </w:t>
      </w:r>
      <w:r>
        <w:rPr>
          <w:shd w:fill="DBE5F1" w:color="auto" w:val="clear"/>
        </w:rPr>
        <w:t>tan</w:t>
      </w:r>
      <w:r>
        <w:rPr>
          <w:spacing w:val="-4"/>
          <w:shd w:fill="DBE5F1" w:color="auto" w:val="clear"/>
        </w:rPr>
        <w:t> </w:t>
      </w:r>
      <w:r>
        <w:rPr>
          <w:shd w:fill="DBE5F1" w:color="auto" w:val="clear"/>
        </w:rPr>
        <w:t>efectivas</w:t>
      </w:r>
      <w:r>
        <w:rPr>
          <w:spacing w:val="-3"/>
          <w:shd w:fill="DBE5F1" w:color="auto" w:val="clear"/>
        </w:rPr>
        <w:t> </w:t>
      </w:r>
      <w:r>
        <w:rPr>
          <w:shd w:fill="DBE5F1" w:color="auto" w:val="clear"/>
        </w:rPr>
        <w:t>fueron</w:t>
      </w:r>
      <w:r>
        <w:rPr>
          <w:spacing w:val="-4"/>
          <w:shd w:fill="DBE5F1" w:color="auto" w:val="clear"/>
        </w:rPr>
        <w:t> </w:t>
      </w:r>
      <w:r>
        <w:rPr>
          <w:shd w:fill="DBE5F1" w:color="auto" w:val="clear"/>
        </w:rPr>
        <w:t>las</w:t>
      </w:r>
      <w:r>
        <w:rPr>
          <w:spacing w:val="-4"/>
          <w:shd w:fill="DBE5F1" w:color="auto" w:val="clear"/>
        </w:rPr>
        <w:t> </w:t>
      </w:r>
      <w:r>
        <w:rPr>
          <w:shd w:fill="DBE5F1" w:color="auto" w:val="clear"/>
        </w:rPr>
        <w:t>acciones</w:t>
      </w:r>
      <w:r>
        <w:rPr>
          <w:spacing w:val="-3"/>
          <w:shd w:fill="DBE5F1" w:color="auto" w:val="clear"/>
        </w:rPr>
        <w:t> </w:t>
      </w:r>
      <w:r>
        <w:rPr>
          <w:shd w:fill="DBE5F1" w:color="auto" w:val="clear"/>
        </w:rPr>
        <w:t>específicas</w:t>
      </w:r>
      <w:r>
        <w:rPr>
          <w:spacing w:val="-3"/>
          <w:shd w:fill="DBE5F1" w:color="auto" w:val="clear"/>
        </w:rPr>
        <w:t> </w:t>
      </w:r>
      <w:r>
        <w:rPr>
          <w:shd w:fill="DBE5F1" w:color="auto" w:val="clear"/>
        </w:rPr>
        <w:t>en</w:t>
      </w:r>
      <w:r>
        <w:rPr>
          <w:spacing w:val="-3"/>
          <w:shd w:fill="DBE5F1" w:color="auto" w:val="clear"/>
        </w:rPr>
        <w:t> </w:t>
      </w:r>
      <w:r>
        <w:rPr>
          <w:shd w:fill="DBE5F1" w:color="auto" w:val="clear"/>
        </w:rPr>
        <w:t>lograr</w:t>
      </w:r>
      <w:r>
        <w:rPr>
          <w:spacing w:val="-5"/>
          <w:shd w:fill="DBE5F1" w:color="auto" w:val="clear"/>
        </w:rPr>
        <w:t> </w:t>
      </w:r>
      <w:r>
        <w:rPr>
          <w:shd w:fill="DBE5F1" w:color="auto" w:val="clear"/>
        </w:rPr>
        <w:t>progreso</w:t>
      </w:r>
      <w:r>
        <w:rPr>
          <w:spacing w:val="-4"/>
          <w:shd w:fill="DBE5F1" w:color="auto" w:val="clear"/>
        </w:rPr>
        <w:t> </w:t>
      </w:r>
      <w:r>
        <w:rPr>
          <w:shd w:fill="DBE5F1" w:color="auto" w:val="clear"/>
        </w:rPr>
        <w:t>hacia</w:t>
      </w:r>
      <w:r>
        <w:rPr>
          <w:spacing w:val="-3"/>
          <w:shd w:fill="DBE5F1" w:color="auto" w:val="clear"/>
        </w:rPr>
        <w:t> </w:t>
      </w:r>
      <w:r>
        <w:rPr>
          <w:shd w:fill="DBE5F1" w:color="auto" w:val="clear"/>
        </w:rPr>
        <w:t>la</w:t>
      </w:r>
      <w:r>
        <w:rPr>
          <w:spacing w:val="-3"/>
          <w:shd w:fill="DBE5F1" w:color="auto" w:val="clear"/>
        </w:rPr>
        <w:t> </w:t>
      </w:r>
      <w:r>
        <w:rPr>
          <w:shd w:fill="DBE5F1" w:color="auto" w:val="clear"/>
        </w:rPr>
        <w:t>meta.</w:t>
        <w:tab/>
      </w:r>
    </w:p>
    <w:p>
      <w:pPr>
        <w:pStyle w:val="BodyText"/>
        <w:spacing w:before="4"/>
        <w:rPr>
          <w:sz w:val="19"/>
        </w:rPr>
      </w:pPr>
    </w:p>
    <w:p>
      <w:pPr>
        <w:pStyle w:val="BodyText"/>
        <w:spacing w:before="3"/>
        <w:rPr>
          <w:sz w:val="5"/>
        </w:rPr>
      </w:pPr>
    </w:p>
    <w:p>
      <w:pPr>
        <w:pStyle w:val="BodyText"/>
        <w:spacing w:before="5"/>
        <w:rPr>
          <w:sz w:val="13"/>
        </w:rPr>
      </w:pPr>
    </w:p>
    <w:p>
      <w:pPr>
        <w:spacing w:before="92"/>
        <w:ind w:left="240" w:right="495" w:firstLine="0"/>
        <w:jc w:val="left"/>
        <w:rPr>
          <w:b/>
          <w:sz w:val="24"/>
        </w:rPr>
      </w:pPr>
      <w:r>
        <w:rPr>
          <w:b/>
          <w:sz w:val="24"/>
        </w:rPr>
        <w:t>Un informe de los Estimados Gastos Verdaderos para las acciones del año pasado se puede encontrar en la Tabla de Gastos para Actualización Anual.</w:t>
      </w:r>
    </w:p>
    <w:p>
      <w:pPr>
        <w:spacing w:after="0"/>
        <w:jc w:val="left"/>
        <w:rPr>
          <w:sz w:val="24"/>
        </w:rPr>
        <w:sectPr>
          <w:pgSz w:w="15840" w:h="12240" w:orient="landscape"/>
          <w:pgMar w:header="0" w:footer="284" w:top="640" w:bottom="560" w:left="120" w:right="120"/>
        </w:sectPr>
      </w:pPr>
    </w:p>
    <w:p>
      <w:pPr>
        <w:pStyle w:val="BodyText"/>
        <w:rPr>
          <w:b/>
          <w:sz w:val="20"/>
        </w:rPr>
      </w:pPr>
    </w:p>
    <w:p>
      <w:pPr>
        <w:pStyle w:val="BodyText"/>
        <w:rPr>
          <w:b/>
          <w:sz w:val="20"/>
        </w:rPr>
      </w:pPr>
    </w:p>
    <w:p>
      <w:pPr>
        <w:pStyle w:val="BodyText"/>
        <w:spacing w:before="6"/>
        <w:rPr>
          <w:b/>
          <w:sz w:val="25"/>
        </w:rPr>
      </w:pPr>
    </w:p>
    <w:p>
      <w:pPr>
        <w:spacing w:before="88"/>
        <w:ind w:left="240" w:right="0" w:firstLine="0"/>
        <w:jc w:val="left"/>
        <w:rPr>
          <w:b/>
          <w:sz w:val="36"/>
        </w:rPr>
      </w:pPr>
      <w:r>
        <w:rPr/>
        <w:pict>
          <v:shape style="position:absolute;margin-left:11.425pt;margin-top:-37.77219pt;width:769.15pt;height:27.25pt;mso-position-horizontal-relative:page;mso-position-vertical-relative:paragraph;z-index:251706368" type="#_x0000_t202" filled="true" fillcolor="#dbe5f1" stroked="true" strokeweight="2.25pt" strokecolor="#000000">
            <v:textbox inset="0,0,0,0">
              <w:txbxContent>
                <w:p>
                  <w:pPr>
                    <w:spacing w:before="20"/>
                    <w:ind w:left="108" w:right="0" w:firstLine="0"/>
                    <w:jc w:val="left"/>
                    <w:rPr>
                      <w:b/>
                      <w:sz w:val="40"/>
                    </w:rPr>
                  </w:pPr>
                  <w:hyperlink r:id="rId18">
                    <w:r>
                      <w:rPr>
                        <w:b/>
                        <w:sz w:val="40"/>
                      </w:rPr>
                      <w:t>Metas y Acciones</w:t>
                    </w:r>
                  </w:hyperlink>
                </w:p>
              </w:txbxContent>
            </v:textbox>
            <v:fill type="solid"/>
            <v:stroke dashstyle="solid"/>
            <w10:wrap type="none"/>
          </v:shape>
        </w:pict>
      </w:r>
      <w:bookmarkStart w:name="Metas y Acciones" w:id="27"/>
      <w:bookmarkEnd w:id="27"/>
      <w:r>
        <w:rPr/>
      </w:r>
      <w:bookmarkStart w:name="Meta" w:id="28"/>
      <w:bookmarkEnd w:id="28"/>
      <w:r>
        <w:rPr/>
      </w:r>
      <w:hyperlink r:id="rId19">
        <w:r>
          <w:rPr>
            <w:b/>
            <w:sz w:val="36"/>
          </w:rPr>
          <w:t>Meta</w:t>
        </w:r>
      </w:hyperlink>
    </w:p>
    <w:p>
      <w:pPr>
        <w:pStyle w:val="BodyText"/>
        <w:rPr>
          <w:b/>
          <w:sz w:val="10"/>
        </w:rPr>
      </w:pPr>
    </w:p>
    <w:tbl>
      <w:tblPr>
        <w:tblW w:w="0" w:type="auto"/>
        <w:jc w:val="left"/>
        <w:tblInd w:w="250" w:type="dxa"/>
        <w:tblBorders>
          <w:top w:val="single" w:sz="4" w:space="0" w:color="8496B0"/>
          <w:left w:val="single" w:sz="4" w:space="0" w:color="8496B0"/>
          <w:bottom w:val="single" w:sz="4" w:space="0" w:color="8496B0"/>
          <w:right w:val="single" w:sz="4" w:space="0" w:color="8496B0"/>
          <w:insideH w:val="single" w:sz="4" w:space="0" w:color="8496B0"/>
          <w:insideV w:val="single" w:sz="4" w:space="0" w:color="8496B0"/>
        </w:tblBorders>
        <w:tblLayout w:type="fixed"/>
        <w:tblCellMar>
          <w:top w:w="0" w:type="dxa"/>
          <w:left w:w="0" w:type="dxa"/>
          <w:bottom w:w="0" w:type="dxa"/>
          <w:right w:w="0" w:type="dxa"/>
        </w:tblCellMar>
        <w:tblLook w:val="01E0"/>
      </w:tblPr>
      <w:tblGrid>
        <w:gridCol w:w="1985"/>
        <w:gridCol w:w="13125"/>
      </w:tblGrid>
      <w:tr>
        <w:trPr>
          <w:trHeight w:val="417" w:hRule="atLeast"/>
        </w:trPr>
        <w:tc>
          <w:tcPr>
            <w:tcW w:w="1985" w:type="dxa"/>
            <w:shd w:val="clear" w:color="auto" w:fill="DBE5F1"/>
          </w:tcPr>
          <w:p>
            <w:pPr>
              <w:pStyle w:val="TableParagraph"/>
              <w:spacing w:before="58"/>
              <w:ind w:left="598" w:right="589"/>
              <w:jc w:val="center"/>
              <w:rPr>
                <w:b/>
                <w:sz w:val="24"/>
              </w:rPr>
            </w:pPr>
            <w:r>
              <w:rPr>
                <w:b/>
                <w:sz w:val="24"/>
              </w:rPr>
              <w:t>Meta #</w:t>
            </w:r>
          </w:p>
        </w:tc>
        <w:tc>
          <w:tcPr>
            <w:tcW w:w="13125" w:type="dxa"/>
            <w:shd w:val="clear" w:color="auto" w:fill="DBE5F1"/>
          </w:tcPr>
          <w:p>
            <w:pPr>
              <w:pStyle w:val="TableParagraph"/>
              <w:spacing w:before="58"/>
              <w:ind w:left="58"/>
              <w:rPr>
                <w:b/>
                <w:sz w:val="24"/>
              </w:rPr>
            </w:pPr>
            <w:r>
              <w:rPr>
                <w:b/>
                <w:sz w:val="24"/>
              </w:rPr>
              <w:t>Descripción</w:t>
            </w:r>
          </w:p>
        </w:tc>
      </w:tr>
      <w:tr>
        <w:trPr>
          <w:trHeight w:val="417" w:hRule="atLeast"/>
        </w:trPr>
        <w:tc>
          <w:tcPr>
            <w:tcW w:w="1985" w:type="dxa"/>
          </w:tcPr>
          <w:p>
            <w:pPr>
              <w:pStyle w:val="TableParagraph"/>
              <w:spacing w:before="58"/>
              <w:ind w:left="9"/>
              <w:jc w:val="center"/>
              <w:rPr>
                <w:b/>
                <w:sz w:val="24"/>
              </w:rPr>
            </w:pPr>
            <w:r>
              <w:rPr>
                <w:b/>
                <w:sz w:val="24"/>
              </w:rPr>
              <w:t>4</w:t>
            </w:r>
          </w:p>
        </w:tc>
        <w:tc>
          <w:tcPr>
            <w:tcW w:w="13125" w:type="dxa"/>
          </w:tcPr>
          <w:p>
            <w:pPr>
              <w:pStyle w:val="TableParagraph"/>
              <w:rPr>
                <w:rFonts w:ascii="Times New Roman"/>
                <w:sz w:val="24"/>
              </w:rPr>
            </w:pPr>
          </w:p>
        </w:tc>
      </w:tr>
    </w:tbl>
    <w:p>
      <w:pPr>
        <w:pStyle w:val="BodyText"/>
        <w:spacing w:before="10"/>
        <w:rPr>
          <w:b/>
          <w:sz w:val="7"/>
        </w:rPr>
      </w:pPr>
      <w:r>
        <w:rPr/>
        <w:pict>
          <v:shape style="position:absolute;margin-left:16.549999pt;margin-top:5.749996pt;width:758.9pt;height:13.8pt;mso-position-horizontal-relative:page;mso-position-vertical-relative:paragraph;z-index:-251614208;mso-wrap-distance-left:0;mso-wrap-distance-right:0" type="#_x0000_t202" filled="true" fillcolor="#dbe5f1" stroked="false">
            <v:textbox inset="0,0,0,0">
              <w:txbxContent>
                <w:p>
                  <w:pPr>
                    <w:pStyle w:val="BodyText"/>
                    <w:ind w:left="29"/>
                  </w:pPr>
                  <w:hyperlink r:id="rId20">
                    <w:r>
                      <w:rPr/>
                      <w:t>Una explicación sobre por qué el LEA ha desarrollado esta meta.</w:t>
                    </w:r>
                  </w:hyperlink>
                </w:p>
              </w:txbxContent>
            </v:textbox>
            <v:fill type="solid"/>
            <w10:wrap type="topAndBottom"/>
          </v:shape>
        </w:pict>
      </w:r>
    </w:p>
    <w:p>
      <w:pPr>
        <w:pStyle w:val="BodyText"/>
        <w:spacing w:before="8"/>
        <w:rPr>
          <w:b/>
          <w:sz w:val="2"/>
        </w:rPr>
      </w:pPr>
    </w:p>
    <w:p>
      <w:pPr>
        <w:pStyle w:val="BodyText"/>
        <w:ind w:left="230"/>
        <w:rPr>
          <w:sz w:val="20"/>
        </w:rPr>
      </w:pPr>
      <w:r>
        <w:rPr>
          <w:sz w:val="20"/>
        </w:rPr>
        <w:pict>
          <v:group style="width:756pt;height:22.9pt;mso-position-horizontal-relative:char;mso-position-vertical-relative:line" coordorigin="0,0" coordsize="15120,458">
            <v:line style="position:absolute" from="10,20" to="10,438" stroked="true" strokeweight="1pt" strokecolor="#8496b0">
              <v:stroke dashstyle="solid"/>
            </v:line>
            <v:line style="position:absolute" from="15110,20" to="15110,438" stroked="true" strokeweight="1pt" strokecolor="#8496b0">
              <v:stroke dashstyle="solid"/>
            </v:line>
            <v:line style="position:absolute" from="0,10" to="15120,10" stroked="true" strokeweight="1pt" strokecolor="#8496b0">
              <v:stroke dashstyle="solid"/>
            </v:line>
            <v:line style="position:absolute" from="0,448" to="15120,448" stroked="true" strokeweight="1pt" strokecolor="#8496b0">
              <v:stroke dashstyle="solid"/>
            </v:line>
          </v:group>
        </w:pict>
      </w:r>
      <w:r>
        <w:rPr>
          <w:sz w:val="20"/>
        </w:rPr>
      </w:r>
    </w:p>
    <w:p>
      <w:pPr>
        <w:spacing w:before="162"/>
        <w:ind w:left="240" w:right="0" w:firstLine="0"/>
        <w:jc w:val="left"/>
        <w:rPr>
          <w:b/>
          <w:sz w:val="36"/>
        </w:rPr>
      </w:pPr>
      <w:bookmarkStart w:name="Midiendo y Reportando Resultados" w:id="29"/>
      <w:bookmarkEnd w:id="29"/>
      <w:r>
        <w:rPr/>
      </w:r>
      <w:hyperlink r:id="rId21">
        <w:r>
          <w:rPr>
            <w:b/>
            <w:sz w:val="36"/>
          </w:rPr>
          <w:t>Midiendo y Reportando Resultados</w:t>
        </w:r>
      </w:hyperlink>
    </w:p>
    <w:p>
      <w:pPr>
        <w:pStyle w:val="BodyText"/>
        <w:spacing w:before="11"/>
        <w:rPr>
          <w:b/>
          <w:sz w:val="9"/>
        </w:rPr>
      </w:pPr>
    </w:p>
    <w:tbl>
      <w:tblPr>
        <w:tblW w:w="0" w:type="auto"/>
        <w:jc w:val="left"/>
        <w:tblInd w:w="250"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ayout w:type="fixed"/>
        <w:tblCellMar>
          <w:top w:w="0" w:type="dxa"/>
          <w:left w:w="0" w:type="dxa"/>
          <w:bottom w:w="0" w:type="dxa"/>
          <w:right w:w="0" w:type="dxa"/>
        </w:tblCellMar>
        <w:tblLook w:val="01E0"/>
      </w:tblPr>
      <w:tblGrid>
        <w:gridCol w:w="2518"/>
        <w:gridCol w:w="2518"/>
        <w:gridCol w:w="2519"/>
        <w:gridCol w:w="2518"/>
        <w:gridCol w:w="2518"/>
        <w:gridCol w:w="2519"/>
      </w:tblGrid>
      <w:tr>
        <w:trPr>
          <w:trHeight w:val="667" w:hRule="atLeast"/>
        </w:trPr>
        <w:tc>
          <w:tcPr>
            <w:tcW w:w="2518" w:type="dxa"/>
            <w:shd w:val="clear" w:color="auto" w:fill="DBE5F1"/>
          </w:tcPr>
          <w:p>
            <w:pPr>
              <w:pStyle w:val="TableParagraph"/>
              <w:spacing w:before="196"/>
              <w:ind w:left="845" w:right="835"/>
              <w:jc w:val="center"/>
              <w:rPr>
                <w:sz w:val="24"/>
              </w:rPr>
            </w:pPr>
            <w:r>
              <w:rPr>
                <w:sz w:val="24"/>
              </w:rPr>
              <w:t>Medida</w:t>
            </w:r>
          </w:p>
        </w:tc>
        <w:tc>
          <w:tcPr>
            <w:tcW w:w="2518" w:type="dxa"/>
            <w:shd w:val="clear" w:color="auto" w:fill="DBE5F1"/>
          </w:tcPr>
          <w:p>
            <w:pPr>
              <w:pStyle w:val="TableParagraph"/>
              <w:spacing w:before="196"/>
              <w:ind w:left="732"/>
              <w:rPr>
                <w:sz w:val="24"/>
              </w:rPr>
            </w:pPr>
            <w:r>
              <w:rPr>
                <w:sz w:val="24"/>
              </w:rPr>
              <w:t>Referente</w:t>
            </w:r>
          </w:p>
        </w:tc>
        <w:tc>
          <w:tcPr>
            <w:tcW w:w="2519" w:type="dxa"/>
            <w:shd w:val="clear" w:color="auto" w:fill="DBE5F1"/>
          </w:tcPr>
          <w:p>
            <w:pPr>
              <w:pStyle w:val="TableParagraph"/>
              <w:spacing w:before="196"/>
              <w:ind w:left="178"/>
              <w:rPr>
                <w:sz w:val="24"/>
              </w:rPr>
            </w:pPr>
            <w:r>
              <w:rPr>
                <w:sz w:val="24"/>
              </w:rPr>
              <w:t>Resultado del Año 1</w:t>
            </w:r>
          </w:p>
        </w:tc>
        <w:tc>
          <w:tcPr>
            <w:tcW w:w="2518" w:type="dxa"/>
            <w:shd w:val="clear" w:color="auto" w:fill="DBE5F1"/>
          </w:tcPr>
          <w:p>
            <w:pPr>
              <w:pStyle w:val="TableParagraph"/>
              <w:spacing w:before="196"/>
              <w:ind w:left="178"/>
              <w:rPr>
                <w:sz w:val="24"/>
              </w:rPr>
            </w:pPr>
            <w:r>
              <w:rPr>
                <w:sz w:val="24"/>
              </w:rPr>
              <w:t>Resultado del Año 2</w:t>
            </w:r>
          </w:p>
        </w:tc>
        <w:tc>
          <w:tcPr>
            <w:tcW w:w="2518" w:type="dxa"/>
            <w:shd w:val="clear" w:color="auto" w:fill="DBE5F1"/>
          </w:tcPr>
          <w:p>
            <w:pPr>
              <w:pStyle w:val="TableParagraph"/>
              <w:spacing w:before="196"/>
              <w:ind w:left="178"/>
              <w:rPr>
                <w:sz w:val="24"/>
              </w:rPr>
            </w:pPr>
            <w:r>
              <w:rPr>
                <w:sz w:val="24"/>
              </w:rPr>
              <w:t>Resultado del Año 3</w:t>
            </w:r>
          </w:p>
        </w:tc>
        <w:tc>
          <w:tcPr>
            <w:tcW w:w="2519" w:type="dxa"/>
            <w:shd w:val="clear" w:color="auto" w:fill="DBE5F1"/>
          </w:tcPr>
          <w:p>
            <w:pPr>
              <w:pStyle w:val="TableParagraph"/>
              <w:spacing w:before="58"/>
              <w:ind w:left="518" w:right="176" w:hanging="314"/>
              <w:rPr>
                <w:sz w:val="24"/>
              </w:rPr>
            </w:pPr>
            <w:r>
              <w:rPr>
                <w:sz w:val="24"/>
              </w:rPr>
              <w:t>Resultado Deseado para 2023–24</w:t>
            </w:r>
          </w:p>
        </w:tc>
      </w:tr>
      <w:tr>
        <w:trPr>
          <w:trHeight w:val="475" w:hRule="atLeast"/>
        </w:trPr>
        <w:tc>
          <w:tcPr>
            <w:tcW w:w="2518" w:type="dxa"/>
          </w:tcPr>
          <w:p>
            <w:pPr>
              <w:pStyle w:val="TableParagraph"/>
              <w:rPr>
                <w:rFonts w:ascii="Times New Roman"/>
                <w:sz w:val="24"/>
              </w:rPr>
            </w:pPr>
          </w:p>
        </w:tc>
        <w:tc>
          <w:tcPr>
            <w:tcW w:w="2518" w:type="dxa"/>
          </w:tcPr>
          <w:p>
            <w:pPr>
              <w:pStyle w:val="TableParagraph"/>
              <w:rPr>
                <w:rFonts w:ascii="Times New Roman"/>
                <w:sz w:val="24"/>
              </w:rPr>
            </w:pPr>
          </w:p>
        </w:tc>
        <w:tc>
          <w:tcPr>
            <w:tcW w:w="2519" w:type="dxa"/>
          </w:tcPr>
          <w:p>
            <w:pPr>
              <w:pStyle w:val="TableParagraph"/>
              <w:rPr>
                <w:rFonts w:ascii="Times New Roman"/>
                <w:sz w:val="24"/>
              </w:rPr>
            </w:pPr>
          </w:p>
        </w:tc>
        <w:tc>
          <w:tcPr>
            <w:tcW w:w="2518" w:type="dxa"/>
          </w:tcPr>
          <w:p>
            <w:pPr>
              <w:pStyle w:val="TableParagraph"/>
              <w:rPr>
                <w:rFonts w:ascii="Times New Roman"/>
                <w:sz w:val="24"/>
              </w:rPr>
            </w:pPr>
          </w:p>
        </w:tc>
        <w:tc>
          <w:tcPr>
            <w:tcW w:w="2518" w:type="dxa"/>
          </w:tcPr>
          <w:p>
            <w:pPr>
              <w:pStyle w:val="TableParagraph"/>
              <w:rPr>
                <w:rFonts w:ascii="Times New Roman"/>
                <w:sz w:val="24"/>
              </w:rPr>
            </w:pPr>
          </w:p>
        </w:tc>
        <w:tc>
          <w:tcPr>
            <w:tcW w:w="2519" w:type="dxa"/>
          </w:tcPr>
          <w:p>
            <w:pPr>
              <w:pStyle w:val="TableParagraph"/>
              <w:rPr>
                <w:rFonts w:ascii="Times New Roman"/>
                <w:sz w:val="24"/>
              </w:rPr>
            </w:pPr>
          </w:p>
        </w:tc>
      </w:tr>
    </w:tbl>
    <w:p>
      <w:pPr>
        <w:spacing w:before="184"/>
        <w:ind w:left="240" w:right="0" w:firstLine="0"/>
        <w:jc w:val="left"/>
        <w:rPr>
          <w:b/>
          <w:sz w:val="36"/>
        </w:rPr>
      </w:pPr>
      <w:bookmarkStart w:name="Acciones" w:id="30"/>
      <w:bookmarkEnd w:id="30"/>
      <w:r>
        <w:rPr/>
      </w:r>
      <w:hyperlink r:id="rId22">
        <w:r>
          <w:rPr>
            <w:b/>
            <w:sz w:val="36"/>
          </w:rPr>
          <w:t>Acciones</w:t>
        </w:r>
      </w:hyperlink>
    </w:p>
    <w:p>
      <w:pPr>
        <w:pStyle w:val="BodyText"/>
        <w:spacing w:before="11"/>
        <w:rPr>
          <w:b/>
          <w:sz w:val="23"/>
        </w:rPr>
      </w:pPr>
    </w:p>
    <w:tbl>
      <w:tblPr>
        <w:tblW w:w="0" w:type="auto"/>
        <w:jc w:val="left"/>
        <w:tblInd w:w="250" w:type="dxa"/>
        <w:tblBorders>
          <w:top w:val="single" w:sz="4" w:space="0" w:color="8496B0"/>
          <w:left w:val="single" w:sz="4" w:space="0" w:color="8496B0"/>
          <w:bottom w:val="single" w:sz="4" w:space="0" w:color="8496B0"/>
          <w:right w:val="single" w:sz="4" w:space="0" w:color="8496B0"/>
          <w:insideH w:val="single" w:sz="4" w:space="0" w:color="8496B0"/>
          <w:insideV w:val="single" w:sz="4" w:space="0" w:color="8496B0"/>
        </w:tblBorders>
        <w:tblLayout w:type="fixed"/>
        <w:tblCellMar>
          <w:top w:w="0" w:type="dxa"/>
          <w:left w:w="0" w:type="dxa"/>
          <w:bottom w:w="0" w:type="dxa"/>
          <w:right w:w="0" w:type="dxa"/>
        </w:tblCellMar>
        <w:tblLook w:val="01E0"/>
      </w:tblPr>
      <w:tblGrid>
        <w:gridCol w:w="1269"/>
        <w:gridCol w:w="2440"/>
        <w:gridCol w:w="7626"/>
        <w:gridCol w:w="2156"/>
        <w:gridCol w:w="1619"/>
      </w:tblGrid>
      <w:tr>
        <w:trPr>
          <w:trHeight w:val="609" w:hRule="atLeast"/>
        </w:trPr>
        <w:tc>
          <w:tcPr>
            <w:tcW w:w="1269" w:type="dxa"/>
            <w:shd w:val="clear" w:color="auto" w:fill="DBE5F1"/>
          </w:tcPr>
          <w:p>
            <w:pPr>
              <w:pStyle w:val="TableParagraph"/>
              <w:spacing w:before="58"/>
              <w:ind w:left="58"/>
              <w:rPr>
                <w:sz w:val="24"/>
              </w:rPr>
            </w:pPr>
            <w:r>
              <w:rPr>
                <w:sz w:val="24"/>
              </w:rPr>
              <w:t>Acción #</w:t>
            </w:r>
          </w:p>
        </w:tc>
        <w:tc>
          <w:tcPr>
            <w:tcW w:w="2440" w:type="dxa"/>
            <w:shd w:val="clear" w:color="auto" w:fill="DBE5F1"/>
          </w:tcPr>
          <w:p>
            <w:pPr>
              <w:pStyle w:val="TableParagraph"/>
              <w:spacing w:before="58"/>
              <w:ind w:left="58"/>
              <w:rPr>
                <w:sz w:val="24"/>
              </w:rPr>
            </w:pPr>
            <w:r>
              <w:rPr>
                <w:sz w:val="24"/>
              </w:rPr>
              <w:t>Título</w:t>
            </w:r>
          </w:p>
        </w:tc>
        <w:tc>
          <w:tcPr>
            <w:tcW w:w="7626" w:type="dxa"/>
            <w:shd w:val="clear" w:color="auto" w:fill="DBE5F1"/>
          </w:tcPr>
          <w:p>
            <w:pPr>
              <w:pStyle w:val="TableParagraph"/>
              <w:spacing w:before="58"/>
              <w:ind w:left="57"/>
              <w:rPr>
                <w:sz w:val="24"/>
              </w:rPr>
            </w:pPr>
            <w:r>
              <w:rPr>
                <w:sz w:val="24"/>
              </w:rPr>
              <w:t>Descripción</w:t>
            </w:r>
          </w:p>
        </w:tc>
        <w:tc>
          <w:tcPr>
            <w:tcW w:w="2156" w:type="dxa"/>
            <w:shd w:val="clear" w:color="auto" w:fill="DBE5F1"/>
          </w:tcPr>
          <w:p>
            <w:pPr>
              <w:pStyle w:val="TableParagraph"/>
              <w:spacing w:before="58"/>
              <w:ind w:left="210"/>
              <w:rPr>
                <w:sz w:val="24"/>
              </w:rPr>
            </w:pPr>
            <w:r>
              <w:rPr>
                <w:sz w:val="24"/>
              </w:rPr>
              <w:t>Total de Fondos</w:t>
            </w:r>
          </w:p>
        </w:tc>
        <w:tc>
          <w:tcPr>
            <w:tcW w:w="1619" w:type="dxa"/>
            <w:shd w:val="clear" w:color="auto" w:fill="DBE5F1"/>
          </w:tcPr>
          <w:p>
            <w:pPr>
              <w:pStyle w:val="TableParagraph"/>
              <w:spacing w:line="270" w:lineRule="atLeast" w:before="58"/>
              <w:ind w:left="742" w:right="67" w:hanging="648"/>
              <w:rPr>
                <w:sz w:val="24"/>
              </w:rPr>
            </w:pPr>
            <w:r>
              <w:rPr>
                <w:sz w:val="24"/>
              </w:rPr>
              <w:t>Contribuyend o</w:t>
            </w:r>
          </w:p>
        </w:tc>
      </w:tr>
      <w:tr>
        <w:trPr>
          <w:trHeight w:val="609" w:hRule="atLeast"/>
        </w:trPr>
        <w:tc>
          <w:tcPr>
            <w:tcW w:w="1269" w:type="dxa"/>
          </w:tcPr>
          <w:p>
            <w:pPr>
              <w:pStyle w:val="TableParagraph"/>
              <w:rPr>
                <w:rFonts w:ascii="Times New Roman"/>
                <w:sz w:val="24"/>
              </w:rPr>
            </w:pPr>
          </w:p>
        </w:tc>
        <w:tc>
          <w:tcPr>
            <w:tcW w:w="2440" w:type="dxa"/>
          </w:tcPr>
          <w:p>
            <w:pPr>
              <w:pStyle w:val="TableParagraph"/>
              <w:rPr>
                <w:rFonts w:ascii="Times New Roman"/>
                <w:sz w:val="24"/>
              </w:rPr>
            </w:pPr>
          </w:p>
        </w:tc>
        <w:tc>
          <w:tcPr>
            <w:tcW w:w="7626" w:type="dxa"/>
          </w:tcPr>
          <w:p>
            <w:pPr>
              <w:pStyle w:val="TableParagraph"/>
              <w:rPr>
                <w:rFonts w:ascii="Times New Roman"/>
                <w:sz w:val="24"/>
              </w:rPr>
            </w:pPr>
          </w:p>
        </w:tc>
        <w:tc>
          <w:tcPr>
            <w:tcW w:w="2156" w:type="dxa"/>
          </w:tcPr>
          <w:p>
            <w:pPr>
              <w:pStyle w:val="TableParagraph"/>
              <w:rPr>
                <w:rFonts w:ascii="Times New Roman"/>
                <w:sz w:val="24"/>
              </w:rPr>
            </w:pPr>
          </w:p>
        </w:tc>
        <w:tc>
          <w:tcPr>
            <w:tcW w:w="1619" w:type="dxa"/>
          </w:tcPr>
          <w:p>
            <w:pPr>
              <w:pStyle w:val="TableParagraph"/>
              <w:rPr>
                <w:rFonts w:ascii="Times New Roman"/>
                <w:sz w:val="24"/>
              </w:rPr>
            </w:pPr>
          </w:p>
        </w:tc>
      </w:tr>
    </w:tbl>
    <w:p>
      <w:pPr>
        <w:spacing w:before="184"/>
        <w:ind w:left="240" w:right="0" w:firstLine="0"/>
        <w:jc w:val="left"/>
        <w:rPr>
          <w:b/>
          <w:sz w:val="36"/>
        </w:rPr>
      </w:pPr>
      <w:bookmarkStart w:name="Análisis de Meta [2021-22]" w:id="31"/>
      <w:bookmarkEnd w:id="31"/>
      <w:r>
        <w:rPr/>
      </w:r>
      <w:hyperlink r:id="rId23">
        <w:r>
          <w:rPr>
            <w:b/>
            <w:sz w:val="36"/>
          </w:rPr>
          <w:t>Análisis de Meta [2021-22]</w:t>
        </w:r>
      </w:hyperlink>
    </w:p>
    <w:p>
      <w:pPr>
        <w:pStyle w:val="BodyText"/>
        <w:ind w:left="240"/>
      </w:pPr>
      <w:r>
        <w:rPr/>
        <w:t>Un análisis sobre como esta meta fue realizada en el previo año.</w:t>
      </w:r>
    </w:p>
    <w:p>
      <w:pPr>
        <w:pStyle w:val="BodyText"/>
        <w:tabs>
          <w:tab w:pos="15388" w:val="left" w:leader="none"/>
        </w:tabs>
        <w:ind w:left="240"/>
      </w:pPr>
      <w:r>
        <w:rPr/>
        <w:pict>
          <v:shape style="position:absolute;margin-left:18.5pt;margin-top:20.048847pt;width:755pt;height:21.9pt;mso-position-horizontal-relative:page;mso-position-vertical-relative:paragraph;z-index:-251612160;mso-wrap-distance-left:0;mso-wrap-distance-right:0" type="#_x0000_t202" filled="false" stroked="true" strokeweight="1pt" strokecolor="#8496b0">
            <v:textbox inset="0,0,0,0">
              <w:txbxContent>
                <w:p>
                  <w:pPr>
                    <w:pStyle w:val="BodyText"/>
                    <w:spacing w:before="58"/>
                    <w:ind w:left="48"/>
                  </w:pPr>
                  <w:r>
                    <w:rPr/>
                    <w:t>Análisis de las metas de 2021-22 se llevará a cabo durante el ciclo de actualización de 2022-24.</w:t>
                  </w:r>
                </w:p>
              </w:txbxContent>
            </v:textbox>
            <v:stroke dashstyle="solid"/>
            <w10:wrap type="topAndBottom"/>
          </v:shape>
        </w:pict>
      </w:r>
      <w:r>
        <w:rPr>
          <w:shd w:fill="DBE5F1" w:color="auto" w:val="clear"/>
        </w:rPr>
        <w:t>Una</w:t>
      </w:r>
      <w:r>
        <w:rPr>
          <w:spacing w:val="-4"/>
          <w:shd w:fill="DBE5F1" w:color="auto" w:val="clear"/>
        </w:rPr>
        <w:t> </w:t>
      </w:r>
      <w:r>
        <w:rPr>
          <w:shd w:fill="DBE5F1" w:color="auto" w:val="clear"/>
        </w:rPr>
        <w:t>descripción</w:t>
      </w:r>
      <w:r>
        <w:rPr>
          <w:spacing w:val="-3"/>
          <w:shd w:fill="DBE5F1" w:color="auto" w:val="clear"/>
        </w:rPr>
        <w:t> </w:t>
      </w:r>
      <w:r>
        <w:rPr>
          <w:shd w:fill="DBE5F1" w:color="auto" w:val="clear"/>
        </w:rPr>
        <w:t>de</w:t>
      </w:r>
      <w:r>
        <w:rPr>
          <w:spacing w:val="-4"/>
          <w:shd w:fill="DBE5F1" w:color="auto" w:val="clear"/>
        </w:rPr>
        <w:t> </w:t>
      </w:r>
      <w:r>
        <w:rPr>
          <w:shd w:fill="DBE5F1" w:color="auto" w:val="clear"/>
        </w:rPr>
        <w:t>cualquier</w:t>
      </w:r>
      <w:r>
        <w:rPr>
          <w:spacing w:val="-4"/>
          <w:shd w:fill="DBE5F1" w:color="auto" w:val="clear"/>
        </w:rPr>
        <w:t> </w:t>
      </w:r>
      <w:r>
        <w:rPr>
          <w:shd w:fill="DBE5F1" w:color="auto" w:val="clear"/>
        </w:rPr>
        <w:t>diferencia</w:t>
      </w:r>
      <w:r>
        <w:rPr>
          <w:spacing w:val="-4"/>
          <w:shd w:fill="DBE5F1" w:color="auto" w:val="clear"/>
        </w:rPr>
        <w:t> </w:t>
      </w:r>
      <w:r>
        <w:rPr>
          <w:shd w:fill="DBE5F1" w:color="auto" w:val="clear"/>
        </w:rPr>
        <w:t>significativa</w:t>
      </w:r>
      <w:r>
        <w:rPr>
          <w:spacing w:val="-4"/>
          <w:shd w:fill="DBE5F1" w:color="auto" w:val="clear"/>
        </w:rPr>
        <w:t> </w:t>
      </w:r>
      <w:r>
        <w:rPr>
          <w:shd w:fill="DBE5F1" w:color="auto" w:val="clear"/>
        </w:rPr>
        <w:t>en</w:t>
      </w:r>
      <w:r>
        <w:rPr>
          <w:spacing w:val="-4"/>
          <w:shd w:fill="DBE5F1" w:color="auto" w:val="clear"/>
        </w:rPr>
        <w:t> </w:t>
      </w:r>
      <w:r>
        <w:rPr>
          <w:shd w:fill="DBE5F1" w:color="auto" w:val="clear"/>
        </w:rPr>
        <w:t>acciones</w:t>
      </w:r>
      <w:r>
        <w:rPr>
          <w:spacing w:val="-3"/>
          <w:shd w:fill="DBE5F1" w:color="auto" w:val="clear"/>
        </w:rPr>
        <w:t> </w:t>
      </w:r>
      <w:r>
        <w:rPr>
          <w:shd w:fill="DBE5F1" w:color="auto" w:val="clear"/>
        </w:rPr>
        <w:t>planeadas</w:t>
      </w:r>
      <w:r>
        <w:rPr>
          <w:spacing w:val="-4"/>
          <w:shd w:fill="DBE5F1" w:color="auto" w:val="clear"/>
        </w:rPr>
        <w:t> </w:t>
      </w:r>
      <w:r>
        <w:rPr>
          <w:shd w:fill="DBE5F1" w:color="auto" w:val="clear"/>
        </w:rPr>
        <w:t>y</w:t>
      </w:r>
      <w:r>
        <w:rPr>
          <w:spacing w:val="-3"/>
          <w:shd w:fill="DBE5F1" w:color="auto" w:val="clear"/>
        </w:rPr>
        <w:t> </w:t>
      </w:r>
      <w:r>
        <w:rPr>
          <w:shd w:fill="DBE5F1" w:color="auto" w:val="clear"/>
        </w:rPr>
        <w:t>la</w:t>
      </w:r>
      <w:r>
        <w:rPr>
          <w:spacing w:val="-4"/>
          <w:shd w:fill="DBE5F1" w:color="auto" w:val="clear"/>
        </w:rPr>
        <w:t> </w:t>
      </w:r>
      <w:r>
        <w:rPr>
          <w:shd w:fill="DBE5F1" w:color="auto" w:val="clear"/>
        </w:rPr>
        <w:t>verdadera</w:t>
      </w:r>
      <w:r>
        <w:rPr>
          <w:spacing w:val="-4"/>
          <w:shd w:fill="DBE5F1" w:color="auto" w:val="clear"/>
        </w:rPr>
        <w:t> </w:t>
      </w:r>
      <w:r>
        <w:rPr>
          <w:shd w:fill="DBE5F1" w:color="auto" w:val="clear"/>
        </w:rPr>
        <w:t>implementación</w:t>
      </w:r>
      <w:r>
        <w:rPr>
          <w:spacing w:val="-5"/>
          <w:shd w:fill="DBE5F1" w:color="auto" w:val="clear"/>
        </w:rPr>
        <w:t> </w:t>
      </w:r>
      <w:r>
        <w:rPr>
          <w:shd w:fill="DBE5F1" w:color="auto" w:val="clear"/>
        </w:rPr>
        <w:t>de</w:t>
      </w:r>
      <w:r>
        <w:rPr>
          <w:spacing w:val="-3"/>
          <w:shd w:fill="DBE5F1" w:color="auto" w:val="clear"/>
        </w:rPr>
        <w:t> </w:t>
      </w:r>
      <w:r>
        <w:rPr>
          <w:shd w:fill="DBE5F1" w:color="auto" w:val="clear"/>
        </w:rPr>
        <w:t>estas</w:t>
      </w:r>
      <w:r>
        <w:rPr>
          <w:spacing w:val="-3"/>
          <w:shd w:fill="DBE5F1" w:color="auto" w:val="clear"/>
        </w:rPr>
        <w:t> </w:t>
      </w:r>
      <w:r>
        <w:rPr>
          <w:shd w:fill="DBE5F1" w:color="auto" w:val="clear"/>
        </w:rPr>
        <w:t>acciones.</w:t>
        <w:tab/>
      </w:r>
    </w:p>
    <w:p>
      <w:pPr>
        <w:pStyle w:val="BodyText"/>
        <w:spacing w:before="5"/>
        <w:rPr>
          <w:sz w:val="13"/>
        </w:rPr>
      </w:pPr>
    </w:p>
    <w:p>
      <w:pPr>
        <w:pStyle w:val="BodyText"/>
        <w:tabs>
          <w:tab w:pos="15388" w:val="left" w:leader="none"/>
        </w:tabs>
        <w:spacing w:before="92"/>
        <w:ind w:left="240"/>
      </w:pPr>
      <w:r>
        <w:rPr/>
        <w:pict>
          <v:shape style="position:absolute;margin-left:18.5pt;margin-top:24.64887pt;width:755pt;height:21.9pt;mso-position-horizontal-relative:page;mso-position-vertical-relative:paragraph;z-index:-251611136;mso-wrap-distance-left:0;mso-wrap-distance-right:0" type="#_x0000_t202" filled="false" stroked="true" strokeweight="1pt" strokecolor="#8496b0">
            <v:textbox inset="0,0,0,0">
              <w:txbxContent>
                <w:p>
                  <w:pPr>
                    <w:pStyle w:val="BodyText"/>
                    <w:spacing w:before="58"/>
                    <w:ind w:left="48"/>
                  </w:pPr>
                  <w:r>
                    <w:rPr/>
                    <w:t>Análisis de las metas de 2021-22 se llevará a cabo durante el ciclo de actualización de 2022-24.</w:t>
                  </w:r>
                </w:p>
              </w:txbxContent>
            </v:textbox>
            <v:stroke dashstyle="solid"/>
            <w10:wrap type="topAndBottom"/>
          </v:shape>
        </w:pict>
      </w:r>
      <w:r>
        <w:rPr>
          <w:shd w:fill="DBE5F1" w:color="auto" w:val="clear"/>
        </w:rPr>
        <w:t>Una explicación de las diferencias materiales entre los Gastos Presupuestados y Estimados Gastos</w:t>
      </w:r>
      <w:r>
        <w:rPr>
          <w:spacing w:val="-39"/>
          <w:shd w:fill="DBE5F1" w:color="auto" w:val="clear"/>
        </w:rPr>
        <w:t> </w:t>
      </w:r>
      <w:r>
        <w:rPr>
          <w:shd w:fill="DBE5F1" w:color="auto" w:val="clear"/>
        </w:rPr>
        <w:t>Reales.</w:t>
        <w:tab/>
      </w:r>
    </w:p>
    <w:p>
      <w:pPr>
        <w:spacing w:after="0"/>
        <w:sectPr>
          <w:pgSz w:w="15840" w:h="12240" w:orient="landscape"/>
          <w:pgMar w:header="0" w:footer="284" w:top="660" w:bottom="560" w:left="120" w:right="120"/>
        </w:sectPr>
      </w:pPr>
    </w:p>
    <w:p>
      <w:pPr>
        <w:pStyle w:val="BodyText"/>
        <w:tabs>
          <w:tab w:pos="15388" w:val="left" w:leader="none"/>
        </w:tabs>
        <w:spacing w:before="76"/>
        <w:ind w:left="240"/>
      </w:pPr>
      <w:r>
        <w:rPr/>
        <w:pict>
          <v:shape style="position:absolute;margin-left:18.5pt;margin-top:23.848866pt;width:755pt;height:21.9pt;mso-position-horizontal-relative:page;mso-position-vertical-relative:paragraph;z-index:-251609088;mso-wrap-distance-left:0;mso-wrap-distance-right:0" type="#_x0000_t202" filled="false" stroked="true" strokeweight="1pt" strokecolor="#8496b0">
            <v:textbox inset="0,0,0,0">
              <w:txbxContent>
                <w:p>
                  <w:pPr>
                    <w:pStyle w:val="BodyText"/>
                    <w:spacing w:before="58"/>
                    <w:ind w:left="48"/>
                  </w:pPr>
                  <w:r>
                    <w:rPr/>
                    <w:t>Análisis de las metas de 2021-22 se llevará a cabo durante el ciclo de actualización de 2022-24.</w:t>
                  </w:r>
                </w:p>
              </w:txbxContent>
            </v:textbox>
            <v:stroke dashstyle="solid"/>
            <w10:wrap type="topAndBottom"/>
          </v:shape>
        </w:pict>
      </w:r>
      <w:r>
        <w:rPr/>
        <w:pict>
          <v:shape style="position:absolute;margin-left:16.549999pt;margin-top:60.047867pt;width:758.9pt;height:27.6pt;mso-position-horizontal-relative:page;mso-position-vertical-relative:paragraph;z-index:-251608064;mso-wrap-distance-left:0;mso-wrap-distance-right:0" type="#_x0000_t202" filled="true" fillcolor="#dbe5f1" stroked="false">
            <v:textbox inset="0,0,0,0">
              <w:txbxContent>
                <w:p>
                  <w:pPr>
                    <w:pStyle w:val="BodyText"/>
                    <w:ind w:left="29" w:right="773"/>
                  </w:pPr>
                  <w:r>
                    <w:rPr/>
                    <w:t>Una descripción sobre cualquier cambio hecho a la meta planeada, medidas, resultados deseados o acciones para el próximo año que resultó de reflexiones sobre previa práctica.</w:t>
                  </w:r>
                </w:p>
              </w:txbxContent>
            </v:textbox>
            <v:fill type="solid"/>
            <w10:wrap type="topAndBottom"/>
          </v:shape>
        </w:pict>
      </w:r>
      <w:r>
        <w:rPr/>
        <w:pict>
          <v:shape style="position:absolute;margin-left:18.5pt;margin-top:93.895866pt;width:755pt;height:21.9pt;mso-position-horizontal-relative:page;mso-position-vertical-relative:paragraph;z-index:-251607040;mso-wrap-distance-left:0;mso-wrap-distance-right:0" type="#_x0000_t202" filled="false" stroked="true" strokeweight="1pt" strokecolor="#8496b0">
            <v:textbox inset="0,0,0,0">
              <w:txbxContent>
                <w:p>
                  <w:pPr>
                    <w:pStyle w:val="BodyText"/>
                    <w:spacing w:before="58"/>
                    <w:ind w:left="48"/>
                  </w:pPr>
                  <w:r>
                    <w:rPr/>
                    <w:t>Análisis de las metas de 2021-22 se llevará a cabo durante el ciclo de actualización de 2022-24.</w:t>
                  </w:r>
                </w:p>
              </w:txbxContent>
            </v:textbox>
            <v:stroke dashstyle="solid"/>
            <w10:wrap type="topAndBottom"/>
          </v:shape>
        </w:pict>
      </w:r>
      <w:r>
        <w:rPr>
          <w:shd w:fill="DBE5F1" w:color="auto" w:val="clear"/>
        </w:rPr>
        <w:t>Una</w:t>
      </w:r>
      <w:r>
        <w:rPr>
          <w:spacing w:val="-4"/>
          <w:shd w:fill="DBE5F1" w:color="auto" w:val="clear"/>
        </w:rPr>
        <w:t> </w:t>
      </w:r>
      <w:r>
        <w:rPr>
          <w:shd w:fill="DBE5F1" w:color="auto" w:val="clear"/>
        </w:rPr>
        <w:t>explicación</w:t>
      </w:r>
      <w:r>
        <w:rPr>
          <w:spacing w:val="-4"/>
          <w:shd w:fill="DBE5F1" w:color="auto" w:val="clear"/>
        </w:rPr>
        <w:t> </w:t>
      </w:r>
      <w:r>
        <w:rPr>
          <w:shd w:fill="DBE5F1" w:color="auto" w:val="clear"/>
        </w:rPr>
        <w:t>sobre</w:t>
      </w:r>
      <w:r>
        <w:rPr>
          <w:spacing w:val="-3"/>
          <w:shd w:fill="DBE5F1" w:color="auto" w:val="clear"/>
        </w:rPr>
        <w:t> </w:t>
      </w:r>
      <w:r>
        <w:rPr>
          <w:shd w:fill="DBE5F1" w:color="auto" w:val="clear"/>
        </w:rPr>
        <w:t>qué</w:t>
      </w:r>
      <w:r>
        <w:rPr>
          <w:spacing w:val="-4"/>
          <w:shd w:fill="DBE5F1" w:color="auto" w:val="clear"/>
        </w:rPr>
        <w:t> </w:t>
      </w:r>
      <w:r>
        <w:rPr>
          <w:shd w:fill="DBE5F1" w:color="auto" w:val="clear"/>
        </w:rPr>
        <w:t>tan</w:t>
      </w:r>
      <w:r>
        <w:rPr>
          <w:spacing w:val="-4"/>
          <w:shd w:fill="DBE5F1" w:color="auto" w:val="clear"/>
        </w:rPr>
        <w:t> </w:t>
      </w:r>
      <w:r>
        <w:rPr>
          <w:shd w:fill="DBE5F1" w:color="auto" w:val="clear"/>
        </w:rPr>
        <w:t>efectivas</w:t>
      </w:r>
      <w:r>
        <w:rPr>
          <w:spacing w:val="-3"/>
          <w:shd w:fill="DBE5F1" w:color="auto" w:val="clear"/>
        </w:rPr>
        <w:t> </w:t>
      </w:r>
      <w:r>
        <w:rPr>
          <w:shd w:fill="DBE5F1" w:color="auto" w:val="clear"/>
        </w:rPr>
        <w:t>fueron</w:t>
      </w:r>
      <w:r>
        <w:rPr>
          <w:spacing w:val="-4"/>
          <w:shd w:fill="DBE5F1" w:color="auto" w:val="clear"/>
        </w:rPr>
        <w:t> </w:t>
      </w:r>
      <w:r>
        <w:rPr>
          <w:shd w:fill="DBE5F1" w:color="auto" w:val="clear"/>
        </w:rPr>
        <w:t>las</w:t>
      </w:r>
      <w:r>
        <w:rPr>
          <w:spacing w:val="-4"/>
          <w:shd w:fill="DBE5F1" w:color="auto" w:val="clear"/>
        </w:rPr>
        <w:t> </w:t>
      </w:r>
      <w:r>
        <w:rPr>
          <w:shd w:fill="DBE5F1" w:color="auto" w:val="clear"/>
        </w:rPr>
        <w:t>acciones</w:t>
      </w:r>
      <w:r>
        <w:rPr>
          <w:spacing w:val="-3"/>
          <w:shd w:fill="DBE5F1" w:color="auto" w:val="clear"/>
        </w:rPr>
        <w:t> </w:t>
      </w:r>
      <w:r>
        <w:rPr>
          <w:shd w:fill="DBE5F1" w:color="auto" w:val="clear"/>
        </w:rPr>
        <w:t>específicas</w:t>
      </w:r>
      <w:r>
        <w:rPr>
          <w:spacing w:val="-3"/>
          <w:shd w:fill="DBE5F1" w:color="auto" w:val="clear"/>
        </w:rPr>
        <w:t> </w:t>
      </w:r>
      <w:r>
        <w:rPr>
          <w:shd w:fill="DBE5F1" w:color="auto" w:val="clear"/>
        </w:rPr>
        <w:t>en</w:t>
      </w:r>
      <w:r>
        <w:rPr>
          <w:spacing w:val="-3"/>
          <w:shd w:fill="DBE5F1" w:color="auto" w:val="clear"/>
        </w:rPr>
        <w:t> </w:t>
      </w:r>
      <w:r>
        <w:rPr>
          <w:shd w:fill="DBE5F1" w:color="auto" w:val="clear"/>
        </w:rPr>
        <w:t>lograr</w:t>
      </w:r>
      <w:r>
        <w:rPr>
          <w:spacing w:val="-5"/>
          <w:shd w:fill="DBE5F1" w:color="auto" w:val="clear"/>
        </w:rPr>
        <w:t> </w:t>
      </w:r>
      <w:r>
        <w:rPr>
          <w:shd w:fill="DBE5F1" w:color="auto" w:val="clear"/>
        </w:rPr>
        <w:t>progreso</w:t>
      </w:r>
      <w:r>
        <w:rPr>
          <w:spacing w:val="-4"/>
          <w:shd w:fill="DBE5F1" w:color="auto" w:val="clear"/>
        </w:rPr>
        <w:t> </w:t>
      </w:r>
      <w:r>
        <w:rPr>
          <w:shd w:fill="DBE5F1" w:color="auto" w:val="clear"/>
        </w:rPr>
        <w:t>hacia</w:t>
      </w:r>
      <w:r>
        <w:rPr>
          <w:spacing w:val="-3"/>
          <w:shd w:fill="DBE5F1" w:color="auto" w:val="clear"/>
        </w:rPr>
        <w:t> </w:t>
      </w:r>
      <w:r>
        <w:rPr>
          <w:shd w:fill="DBE5F1" w:color="auto" w:val="clear"/>
        </w:rPr>
        <w:t>la</w:t>
      </w:r>
      <w:r>
        <w:rPr>
          <w:spacing w:val="-3"/>
          <w:shd w:fill="DBE5F1" w:color="auto" w:val="clear"/>
        </w:rPr>
        <w:t> </w:t>
      </w:r>
      <w:r>
        <w:rPr>
          <w:shd w:fill="DBE5F1" w:color="auto" w:val="clear"/>
        </w:rPr>
        <w:t>meta.</w:t>
        <w:tab/>
      </w:r>
    </w:p>
    <w:p>
      <w:pPr>
        <w:pStyle w:val="BodyText"/>
        <w:spacing w:before="4"/>
        <w:rPr>
          <w:sz w:val="19"/>
        </w:rPr>
      </w:pPr>
    </w:p>
    <w:p>
      <w:pPr>
        <w:pStyle w:val="BodyText"/>
        <w:spacing w:before="3"/>
        <w:rPr>
          <w:sz w:val="5"/>
        </w:rPr>
      </w:pPr>
    </w:p>
    <w:p>
      <w:pPr>
        <w:pStyle w:val="BodyText"/>
        <w:spacing w:before="5"/>
        <w:rPr>
          <w:sz w:val="13"/>
        </w:rPr>
      </w:pPr>
    </w:p>
    <w:p>
      <w:pPr>
        <w:spacing w:before="92"/>
        <w:ind w:left="240" w:right="495" w:firstLine="0"/>
        <w:jc w:val="left"/>
        <w:rPr>
          <w:b/>
          <w:sz w:val="24"/>
        </w:rPr>
      </w:pPr>
      <w:r>
        <w:rPr>
          <w:b/>
          <w:sz w:val="24"/>
        </w:rPr>
        <w:t>Un informe de los Estimados Gastos Verdaderos para las acciones del año pasado se puede encontrar en la Tabla de Gastos para Actualización Anual.</w:t>
      </w:r>
    </w:p>
    <w:p>
      <w:pPr>
        <w:spacing w:after="0"/>
        <w:jc w:val="left"/>
        <w:rPr>
          <w:sz w:val="24"/>
        </w:rPr>
        <w:sectPr>
          <w:pgSz w:w="15840" w:h="12240" w:orient="landscape"/>
          <w:pgMar w:header="0" w:footer="284" w:top="560" w:bottom="560" w:left="120" w:right="120"/>
        </w:sectPr>
      </w:pPr>
    </w:p>
    <w:p>
      <w:pPr>
        <w:pStyle w:val="BodyText"/>
        <w:rPr>
          <w:b/>
          <w:sz w:val="20"/>
        </w:rPr>
      </w:pPr>
    </w:p>
    <w:p>
      <w:pPr>
        <w:pStyle w:val="BodyText"/>
        <w:rPr>
          <w:b/>
          <w:sz w:val="20"/>
        </w:rPr>
      </w:pPr>
    </w:p>
    <w:p>
      <w:pPr>
        <w:pStyle w:val="BodyText"/>
        <w:spacing w:before="6"/>
        <w:rPr>
          <w:b/>
          <w:sz w:val="25"/>
        </w:rPr>
      </w:pPr>
    </w:p>
    <w:p>
      <w:pPr>
        <w:spacing w:before="88"/>
        <w:ind w:left="240" w:right="0" w:firstLine="0"/>
        <w:jc w:val="left"/>
        <w:rPr>
          <w:b/>
          <w:sz w:val="36"/>
        </w:rPr>
      </w:pPr>
      <w:r>
        <w:rPr/>
        <w:pict>
          <v:shape style="position:absolute;margin-left:11.425pt;margin-top:-37.77219pt;width:769.15pt;height:27.25pt;mso-position-horizontal-relative:page;mso-position-vertical-relative:paragraph;z-index:251714560" type="#_x0000_t202" filled="true" fillcolor="#dbe5f1" stroked="true" strokeweight="2.25pt" strokecolor="#000000">
            <v:textbox inset="0,0,0,0">
              <w:txbxContent>
                <w:p>
                  <w:pPr>
                    <w:spacing w:before="20"/>
                    <w:ind w:left="108" w:right="0" w:firstLine="0"/>
                    <w:jc w:val="left"/>
                    <w:rPr>
                      <w:b/>
                      <w:sz w:val="40"/>
                    </w:rPr>
                  </w:pPr>
                  <w:hyperlink r:id="rId18">
                    <w:r>
                      <w:rPr>
                        <w:b/>
                        <w:sz w:val="40"/>
                      </w:rPr>
                      <w:t>Metas y Acciones</w:t>
                    </w:r>
                  </w:hyperlink>
                </w:p>
              </w:txbxContent>
            </v:textbox>
            <v:fill type="solid"/>
            <v:stroke dashstyle="solid"/>
            <w10:wrap type="none"/>
          </v:shape>
        </w:pict>
      </w:r>
      <w:bookmarkStart w:name="Metas y Acciones" w:id="32"/>
      <w:bookmarkEnd w:id="32"/>
      <w:r>
        <w:rPr/>
      </w:r>
      <w:bookmarkStart w:name="Meta" w:id="33"/>
      <w:bookmarkEnd w:id="33"/>
      <w:r>
        <w:rPr/>
      </w:r>
      <w:hyperlink r:id="rId19">
        <w:r>
          <w:rPr>
            <w:b/>
            <w:sz w:val="36"/>
          </w:rPr>
          <w:t>Meta</w:t>
        </w:r>
      </w:hyperlink>
    </w:p>
    <w:p>
      <w:pPr>
        <w:pStyle w:val="BodyText"/>
        <w:rPr>
          <w:b/>
          <w:sz w:val="10"/>
        </w:rPr>
      </w:pPr>
    </w:p>
    <w:tbl>
      <w:tblPr>
        <w:tblW w:w="0" w:type="auto"/>
        <w:jc w:val="left"/>
        <w:tblInd w:w="250" w:type="dxa"/>
        <w:tblBorders>
          <w:top w:val="single" w:sz="4" w:space="0" w:color="8496B0"/>
          <w:left w:val="single" w:sz="4" w:space="0" w:color="8496B0"/>
          <w:bottom w:val="single" w:sz="4" w:space="0" w:color="8496B0"/>
          <w:right w:val="single" w:sz="4" w:space="0" w:color="8496B0"/>
          <w:insideH w:val="single" w:sz="4" w:space="0" w:color="8496B0"/>
          <w:insideV w:val="single" w:sz="4" w:space="0" w:color="8496B0"/>
        </w:tblBorders>
        <w:tblLayout w:type="fixed"/>
        <w:tblCellMar>
          <w:top w:w="0" w:type="dxa"/>
          <w:left w:w="0" w:type="dxa"/>
          <w:bottom w:w="0" w:type="dxa"/>
          <w:right w:w="0" w:type="dxa"/>
        </w:tblCellMar>
        <w:tblLook w:val="01E0"/>
      </w:tblPr>
      <w:tblGrid>
        <w:gridCol w:w="1985"/>
        <w:gridCol w:w="13125"/>
      </w:tblGrid>
      <w:tr>
        <w:trPr>
          <w:trHeight w:val="417" w:hRule="atLeast"/>
        </w:trPr>
        <w:tc>
          <w:tcPr>
            <w:tcW w:w="1985" w:type="dxa"/>
            <w:shd w:val="clear" w:color="auto" w:fill="DBE5F1"/>
          </w:tcPr>
          <w:p>
            <w:pPr>
              <w:pStyle w:val="TableParagraph"/>
              <w:spacing w:before="58"/>
              <w:ind w:left="598" w:right="589"/>
              <w:jc w:val="center"/>
              <w:rPr>
                <w:b/>
                <w:sz w:val="24"/>
              </w:rPr>
            </w:pPr>
            <w:r>
              <w:rPr>
                <w:b/>
                <w:sz w:val="24"/>
              </w:rPr>
              <w:t>Meta #</w:t>
            </w:r>
          </w:p>
        </w:tc>
        <w:tc>
          <w:tcPr>
            <w:tcW w:w="13125" w:type="dxa"/>
            <w:shd w:val="clear" w:color="auto" w:fill="DBE5F1"/>
          </w:tcPr>
          <w:p>
            <w:pPr>
              <w:pStyle w:val="TableParagraph"/>
              <w:spacing w:before="58"/>
              <w:ind w:left="58"/>
              <w:rPr>
                <w:b/>
                <w:sz w:val="24"/>
              </w:rPr>
            </w:pPr>
            <w:r>
              <w:rPr>
                <w:b/>
                <w:sz w:val="24"/>
              </w:rPr>
              <w:t>Descripción</w:t>
            </w:r>
          </w:p>
        </w:tc>
      </w:tr>
      <w:tr>
        <w:trPr>
          <w:trHeight w:val="417" w:hRule="atLeast"/>
        </w:trPr>
        <w:tc>
          <w:tcPr>
            <w:tcW w:w="1985" w:type="dxa"/>
          </w:tcPr>
          <w:p>
            <w:pPr>
              <w:pStyle w:val="TableParagraph"/>
              <w:spacing w:before="58"/>
              <w:ind w:left="9"/>
              <w:jc w:val="center"/>
              <w:rPr>
                <w:b/>
                <w:sz w:val="24"/>
              </w:rPr>
            </w:pPr>
            <w:r>
              <w:rPr>
                <w:b/>
                <w:sz w:val="24"/>
              </w:rPr>
              <w:t>5</w:t>
            </w:r>
          </w:p>
        </w:tc>
        <w:tc>
          <w:tcPr>
            <w:tcW w:w="13125" w:type="dxa"/>
          </w:tcPr>
          <w:p>
            <w:pPr>
              <w:pStyle w:val="TableParagraph"/>
              <w:rPr>
                <w:rFonts w:ascii="Times New Roman"/>
                <w:sz w:val="24"/>
              </w:rPr>
            </w:pPr>
          </w:p>
        </w:tc>
      </w:tr>
    </w:tbl>
    <w:p>
      <w:pPr>
        <w:pStyle w:val="BodyText"/>
        <w:spacing w:before="10"/>
        <w:rPr>
          <w:b/>
          <w:sz w:val="7"/>
        </w:rPr>
      </w:pPr>
      <w:r>
        <w:rPr/>
        <w:pict>
          <v:shape style="position:absolute;margin-left:16.549999pt;margin-top:5.749996pt;width:758.9pt;height:13.8pt;mso-position-horizontal-relative:page;mso-position-vertical-relative:paragraph;z-index:-251606016;mso-wrap-distance-left:0;mso-wrap-distance-right:0" type="#_x0000_t202" filled="true" fillcolor="#dbe5f1" stroked="false">
            <v:textbox inset="0,0,0,0">
              <w:txbxContent>
                <w:p>
                  <w:pPr>
                    <w:pStyle w:val="BodyText"/>
                    <w:ind w:left="29"/>
                  </w:pPr>
                  <w:hyperlink r:id="rId20">
                    <w:r>
                      <w:rPr/>
                      <w:t>Una explicación sobre por qué el LEA ha desarrollado esta meta.</w:t>
                    </w:r>
                  </w:hyperlink>
                </w:p>
              </w:txbxContent>
            </v:textbox>
            <v:fill type="solid"/>
            <w10:wrap type="topAndBottom"/>
          </v:shape>
        </w:pict>
      </w:r>
    </w:p>
    <w:p>
      <w:pPr>
        <w:pStyle w:val="BodyText"/>
        <w:spacing w:before="8"/>
        <w:rPr>
          <w:b/>
          <w:sz w:val="2"/>
        </w:rPr>
      </w:pPr>
    </w:p>
    <w:p>
      <w:pPr>
        <w:pStyle w:val="BodyText"/>
        <w:ind w:left="230"/>
        <w:rPr>
          <w:sz w:val="20"/>
        </w:rPr>
      </w:pPr>
      <w:r>
        <w:rPr>
          <w:sz w:val="20"/>
        </w:rPr>
        <w:pict>
          <v:group style="width:756pt;height:22.9pt;mso-position-horizontal-relative:char;mso-position-vertical-relative:line" coordorigin="0,0" coordsize="15120,458">
            <v:line style="position:absolute" from="10,20" to="10,438" stroked="true" strokeweight="1pt" strokecolor="#8496b0">
              <v:stroke dashstyle="solid"/>
            </v:line>
            <v:line style="position:absolute" from="15110,20" to="15110,438" stroked="true" strokeweight="1pt" strokecolor="#8496b0">
              <v:stroke dashstyle="solid"/>
            </v:line>
            <v:line style="position:absolute" from="0,10" to="15120,10" stroked="true" strokeweight="1pt" strokecolor="#8496b0">
              <v:stroke dashstyle="solid"/>
            </v:line>
            <v:line style="position:absolute" from="0,448" to="15120,448" stroked="true" strokeweight="1pt" strokecolor="#8496b0">
              <v:stroke dashstyle="solid"/>
            </v:line>
          </v:group>
        </w:pict>
      </w:r>
      <w:r>
        <w:rPr>
          <w:sz w:val="20"/>
        </w:rPr>
      </w:r>
    </w:p>
    <w:p>
      <w:pPr>
        <w:spacing w:before="162"/>
        <w:ind w:left="240" w:right="0" w:firstLine="0"/>
        <w:jc w:val="left"/>
        <w:rPr>
          <w:b/>
          <w:sz w:val="36"/>
        </w:rPr>
      </w:pPr>
      <w:bookmarkStart w:name="Midiendo y Reportando Resultados" w:id="34"/>
      <w:bookmarkEnd w:id="34"/>
      <w:r>
        <w:rPr/>
      </w:r>
      <w:hyperlink r:id="rId21">
        <w:r>
          <w:rPr>
            <w:b/>
            <w:sz w:val="36"/>
          </w:rPr>
          <w:t>Midiendo y Reportando Resultados</w:t>
        </w:r>
      </w:hyperlink>
    </w:p>
    <w:p>
      <w:pPr>
        <w:pStyle w:val="BodyText"/>
        <w:spacing w:before="11"/>
        <w:rPr>
          <w:b/>
          <w:sz w:val="9"/>
        </w:rPr>
      </w:pPr>
    </w:p>
    <w:tbl>
      <w:tblPr>
        <w:tblW w:w="0" w:type="auto"/>
        <w:jc w:val="left"/>
        <w:tblInd w:w="250"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ayout w:type="fixed"/>
        <w:tblCellMar>
          <w:top w:w="0" w:type="dxa"/>
          <w:left w:w="0" w:type="dxa"/>
          <w:bottom w:w="0" w:type="dxa"/>
          <w:right w:w="0" w:type="dxa"/>
        </w:tblCellMar>
        <w:tblLook w:val="01E0"/>
      </w:tblPr>
      <w:tblGrid>
        <w:gridCol w:w="2518"/>
        <w:gridCol w:w="2518"/>
        <w:gridCol w:w="2519"/>
        <w:gridCol w:w="2518"/>
        <w:gridCol w:w="2518"/>
        <w:gridCol w:w="2519"/>
      </w:tblGrid>
      <w:tr>
        <w:trPr>
          <w:trHeight w:val="667" w:hRule="atLeast"/>
        </w:trPr>
        <w:tc>
          <w:tcPr>
            <w:tcW w:w="2518" w:type="dxa"/>
            <w:shd w:val="clear" w:color="auto" w:fill="DBE5F1"/>
          </w:tcPr>
          <w:p>
            <w:pPr>
              <w:pStyle w:val="TableParagraph"/>
              <w:spacing w:before="196"/>
              <w:ind w:left="845" w:right="835"/>
              <w:jc w:val="center"/>
              <w:rPr>
                <w:sz w:val="24"/>
              </w:rPr>
            </w:pPr>
            <w:r>
              <w:rPr>
                <w:sz w:val="24"/>
              </w:rPr>
              <w:t>Medida</w:t>
            </w:r>
          </w:p>
        </w:tc>
        <w:tc>
          <w:tcPr>
            <w:tcW w:w="2518" w:type="dxa"/>
            <w:shd w:val="clear" w:color="auto" w:fill="DBE5F1"/>
          </w:tcPr>
          <w:p>
            <w:pPr>
              <w:pStyle w:val="TableParagraph"/>
              <w:spacing w:before="196"/>
              <w:ind w:left="732"/>
              <w:rPr>
                <w:sz w:val="24"/>
              </w:rPr>
            </w:pPr>
            <w:r>
              <w:rPr>
                <w:sz w:val="24"/>
              </w:rPr>
              <w:t>Referente</w:t>
            </w:r>
          </w:p>
        </w:tc>
        <w:tc>
          <w:tcPr>
            <w:tcW w:w="2519" w:type="dxa"/>
            <w:shd w:val="clear" w:color="auto" w:fill="DBE5F1"/>
          </w:tcPr>
          <w:p>
            <w:pPr>
              <w:pStyle w:val="TableParagraph"/>
              <w:spacing w:before="196"/>
              <w:ind w:left="178"/>
              <w:rPr>
                <w:sz w:val="24"/>
              </w:rPr>
            </w:pPr>
            <w:r>
              <w:rPr>
                <w:sz w:val="24"/>
              </w:rPr>
              <w:t>Resultado del Año 1</w:t>
            </w:r>
          </w:p>
        </w:tc>
        <w:tc>
          <w:tcPr>
            <w:tcW w:w="2518" w:type="dxa"/>
            <w:shd w:val="clear" w:color="auto" w:fill="DBE5F1"/>
          </w:tcPr>
          <w:p>
            <w:pPr>
              <w:pStyle w:val="TableParagraph"/>
              <w:spacing w:before="196"/>
              <w:ind w:left="178"/>
              <w:rPr>
                <w:sz w:val="24"/>
              </w:rPr>
            </w:pPr>
            <w:r>
              <w:rPr>
                <w:sz w:val="24"/>
              </w:rPr>
              <w:t>Resultado del Año 2</w:t>
            </w:r>
          </w:p>
        </w:tc>
        <w:tc>
          <w:tcPr>
            <w:tcW w:w="2518" w:type="dxa"/>
            <w:shd w:val="clear" w:color="auto" w:fill="DBE5F1"/>
          </w:tcPr>
          <w:p>
            <w:pPr>
              <w:pStyle w:val="TableParagraph"/>
              <w:spacing w:before="196"/>
              <w:ind w:left="178"/>
              <w:rPr>
                <w:sz w:val="24"/>
              </w:rPr>
            </w:pPr>
            <w:r>
              <w:rPr>
                <w:sz w:val="24"/>
              </w:rPr>
              <w:t>Resultado del Año 3</w:t>
            </w:r>
          </w:p>
        </w:tc>
        <w:tc>
          <w:tcPr>
            <w:tcW w:w="2519" w:type="dxa"/>
            <w:shd w:val="clear" w:color="auto" w:fill="DBE5F1"/>
          </w:tcPr>
          <w:p>
            <w:pPr>
              <w:pStyle w:val="TableParagraph"/>
              <w:spacing w:before="58"/>
              <w:ind w:left="518" w:right="176" w:hanging="314"/>
              <w:rPr>
                <w:sz w:val="24"/>
              </w:rPr>
            </w:pPr>
            <w:r>
              <w:rPr>
                <w:sz w:val="24"/>
              </w:rPr>
              <w:t>Resultado Deseado para 2023–24</w:t>
            </w:r>
          </w:p>
        </w:tc>
      </w:tr>
      <w:tr>
        <w:trPr>
          <w:trHeight w:val="475" w:hRule="atLeast"/>
        </w:trPr>
        <w:tc>
          <w:tcPr>
            <w:tcW w:w="2518" w:type="dxa"/>
          </w:tcPr>
          <w:p>
            <w:pPr>
              <w:pStyle w:val="TableParagraph"/>
              <w:rPr>
                <w:rFonts w:ascii="Times New Roman"/>
                <w:sz w:val="24"/>
              </w:rPr>
            </w:pPr>
          </w:p>
        </w:tc>
        <w:tc>
          <w:tcPr>
            <w:tcW w:w="2518" w:type="dxa"/>
          </w:tcPr>
          <w:p>
            <w:pPr>
              <w:pStyle w:val="TableParagraph"/>
              <w:rPr>
                <w:rFonts w:ascii="Times New Roman"/>
                <w:sz w:val="24"/>
              </w:rPr>
            </w:pPr>
          </w:p>
        </w:tc>
        <w:tc>
          <w:tcPr>
            <w:tcW w:w="2519" w:type="dxa"/>
          </w:tcPr>
          <w:p>
            <w:pPr>
              <w:pStyle w:val="TableParagraph"/>
              <w:rPr>
                <w:rFonts w:ascii="Times New Roman"/>
                <w:sz w:val="24"/>
              </w:rPr>
            </w:pPr>
          </w:p>
        </w:tc>
        <w:tc>
          <w:tcPr>
            <w:tcW w:w="2518" w:type="dxa"/>
          </w:tcPr>
          <w:p>
            <w:pPr>
              <w:pStyle w:val="TableParagraph"/>
              <w:rPr>
                <w:rFonts w:ascii="Times New Roman"/>
                <w:sz w:val="24"/>
              </w:rPr>
            </w:pPr>
          </w:p>
        </w:tc>
        <w:tc>
          <w:tcPr>
            <w:tcW w:w="2518" w:type="dxa"/>
          </w:tcPr>
          <w:p>
            <w:pPr>
              <w:pStyle w:val="TableParagraph"/>
              <w:rPr>
                <w:rFonts w:ascii="Times New Roman"/>
                <w:sz w:val="24"/>
              </w:rPr>
            </w:pPr>
          </w:p>
        </w:tc>
        <w:tc>
          <w:tcPr>
            <w:tcW w:w="2519" w:type="dxa"/>
          </w:tcPr>
          <w:p>
            <w:pPr>
              <w:pStyle w:val="TableParagraph"/>
              <w:rPr>
                <w:rFonts w:ascii="Times New Roman"/>
                <w:sz w:val="24"/>
              </w:rPr>
            </w:pPr>
          </w:p>
        </w:tc>
      </w:tr>
    </w:tbl>
    <w:p>
      <w:pPr>
        <w:spacing w:before="184"/>
        <w:ind w:left="240" w:right="0" w:firstLine="0"/>
        <w:jc w:val="left"/>
        <w:rPr>
          <w:b/>
          <w:sz w:val="36"/>
        </w:rPr>
      </w:pPr>
      <w:bookmarkStart w:name="Acciones" w:id="35"/>
      <w:bookmarkEnd w:id="35"/>
      <w:r>
        <w:rPr/>
      </w:r>
      <w:hyperlink r:id="rId22">
        <w:r>
          <w:rPr>
            <w:b/>
            <w:sz w:val="36"/>
          </w:rPr>
          <w:t>Acciones</w:t>
        </w:r>
      </w:hyperlink>
    </w:p>
    <w:p>
      <w:pPr>
        <w:pStyle w:val="BodyText"/>
        <w:spacing w:before="11"/>
        <w:rPr>
          <w:b/>
          <w:sz w:val="23"/>
        </w:rPr>
      </w:pPr>
    </w:p>
    <w:tbl>
      <w:tblPr>
        <w:tblW w:w="0" w:type="auto"/>
        <w:jc w:val="left"/>
        <w:tblInd w:w="250" w:type="dxa"/>
        <w:tblBorders>
          <w:top w:val="single" w:sz="4" w:space="0" w:color="8496B0"/>
          <w:left w:val="single" w:sz="4" w:space="0" w:color="8496B0"/>
          <w:bottom w:val="single" w:sz="4" w:space="0" w:color="8496B0"/>
          <w:right w:val="single" w:sz="4" w:space="0" w:color="8496B0"/>
          <w:insideH w:val="single" w:sz="4" w:space="0" w:color="8496B0"/>
          <w:insideV w:val="single" w:sz="4" w:space="0" w:color="8496B0"/>
        </w:tblBorders>
        <w:tblLayout w:type="fixed"/>
        <w:tblCellMar>
          <w:top w:w="0" w:type="dxa"/>
          <w:left w:w="0" w:type="dxa"/>
          <w:bottom w:w="0" w:type="dxa"/>
          <w:right w:w="0" w:type="dxa"/>
        </w:tblCellMar>
        <w:tblLook w:val="01E0"/>
      </w:tblPr>
      <w:tblGrid>
        <w:gridCol w:w="1269"/>
        <w:gridCol w:w="2440"/>
        <w:gridCol w:w="7626"/>
        <w:gridCol w:w="2156"/>
        <w:gridCol w:w="1619"/>
      </w:tblGrid>
      <w:tr>
        <w:trPr>
          <w:trHeight w:val="609" w:hRule="atLeast"/>
        </w:trPr>
        <w:tc>
          <w:tcPr>
            <w:tcW w:w="1269" w:type="dxa"/>
            <w:shd w:val="clear" w:color="auto" w:fill="DBE5F1"/>
          </w:tcPr>
          <w:p>
            <w:pPr>
              <w:pStyle w:val="TableParagraph"/>
              <w:spacing w:before="58"/>
              <w:ind w:left="58"/>
              <w:rPr>
                <w:sz w:val="24"/>
              </w:rPr>
            </w:pPr>
            <w:r>
              <w:rPr>
                <w:sz w:val="24"/>
              </w:rPr>
              <w:t>Acción #</w:t>
            </w:r>
          </w:p>
        </w:tc>
        <w:tc>
          <w:tcPr>
            <w:tcW w:w="2440" w:type="dxa"/>
            <w:shd w:val="clear" w:color="auto" w:fill="DBE5F1"/>
          </w:tcPr>
          <w:p>
            <w:pPr>
              <w:pStyle w:val="TableParagraph"/>
              <w:spacing w:before="58"/>
              <w:ind w:left="58"/>
              <w:rPr>
                <w:sz w:val="24"/>
              </w:rPr>
            </w:pPr>
            <w:r>
              <w:rPr>
                <w:sz w:val="24"/>
              </w:rPr>
              <w:t>Título</w:t>
            </w:r>
          </w:p>
        </w:tc>
        <w:tc>
          <w:tcPr>
            <w:tcW w:w="7626" w:type="dxa"/>
            <w:shd w:val="clear" w:color="auto" w:fill="DBE5F1"/>
          </w:tcPr>
          <w:p>
            <w:pPr>
              <w:pStyle w:val="TableParagraph"/>
              <w:spacing w:before="58"/>
              <w:ind w:left="57"/>
              <w:rPr>
                <w:sz w:val="24"/>
              </w:rPr>
            </w:pPr>
            <w:r>
              <w:rPr>
                <w:sz w:val="24"/>
              </w:rPr>
              <w:t>Descripción</w:t>
            </w:r>
          </w:p>
        </w:tc>
        <w:tc>
          <w:tcPr>
            <w:tcW w:w="2156" w:type="dxa"/>
            <w:shd w:val="clear" w:color="auto" w:fill="DBE5F1"/>
          </w:tcPr>
          <w:p>
            <w:pPr>
              <w:pStyle w:val="TableParagraph"/>
              <w:spacing w:before="58"/>
              <w:ind w:left="210"/>
              <w:rPr>
                <w:sz w:val="24"/>
              </w:rPr>
            </w:pPr>
            <w:r>
              <w:rPr>
                <w:sz w:val="24"/>
              </w:rPr>
              <w:t>Total de Fondos</w:t>
            </w:r>
          </w:p>
        </w:tc>
        <w:tc>
          <w:tcPr>
            <w:tcW w:w="1619" w:type="dxa"/>
            <w:shd w:val="clear" w:color="auto" w:fill="DBE5F1"/>
          </w:tcPr>
          <w:p>
            <w:pPr>
              <w:pStyle w:val="TableParagraph"/>
              <w:spacing w:line="270" w:lineRule="atLeast" w:before="58"/>
              <w:ind w:left="742" w:right="67" w:hanging="648"/>
              <w:rPr>
                <w:sz w:val="24"/>
              </w:rPr>
            </w:pPr>
            <w:r>
              <w:rPr>
                <w:sz w:val="24"/>
              </w:rPr>
              <w:t>Contribuyend o</w:t>
            </w:r>
          </w:p>
        </w:tc>
      </w:tr>
      <w:tr>
        <w:trPr>
          <w:trHeight w:val="609" w:hRule="atLeast"/>
        </w:trPr>
        <w:tc>
          <w:tcPr>
            <w:tcW w:w="1269" w:type="dxa"/>
          </w:tcPr>
          <w:p>
            <w:pPr>
              <w:pStyle w:val="TableParagraph"/>
              <w:rPr>
                <w:rFonts w:ascii="Times New Roman"/>
                <w:sz w:val="24"/>
              </w:rPr>
            </w:pPr>
          </w:p>
        </w:tc>
        <w:tc>
          <w:tcPr>
            <w:tcW w:w="2440" w:type="dxa"/>
          </w:tcPr>
          <w:p>
            <w:pPr>
              <w:pStyle w:val="TableParagraph"/>
              <w:rPr>
                <w:rFonts w:ascii="Times New Roman"/>
                <w:sz w:val="24"/>
              </w:rPr>
            </w:pPr>
          </w:p>
        </w:tc>
        <w:tc>
          <w:tcPr>
            <w:tcW w:w="7626" w:type="dxa"/>
          </w:tcPr>
          <w:p>
            <w:pPr>
              <w:pStyle w:val="TableParagraph"/>
              <w:rPr>
                <w:rFonts w:ascii="Times New Roman"/>
                <w:sz w:val="24"/>
              </w:rPr>
            </w:pPr>
          </w:p>
        </w:tc>
        <w:tc>
          <w:tcPr>
            <w:tcW w:w="2156" w:type="dxa"/>
          </w:tcPr>
          <w:p>
            <w:pPr>
              <w:pStyle w:val="TableParagraph"/>
              <w:rPr>
                <w:rFonts w:ascii="Times New Roman"/>
                <w:sz w:val="24"/>
              </w:rPr>
            </w:pPr>
          </w:p>
        </w:tc>
        <w:tc>
          <w:tcPr>
            <w:tcW w:w="1619" w:type="dxa"/>
          </w:tcPr>
          <w:p>
            <w:pPr>
              <w:pStyle w:val="TableParagraph"/>
              <w:rPr>
                <w:rFonts w:ascii="Times New Roman"/>
                <w:sz w:val="24"/>
              </w:rPr>
            </w:pPr>
          </w:p>
        </w:tc>
      </w:tr>
    </w:tbl>
    <w:p>
      <w:pPr>
        <w:spacing w:before="184"/>
        <w:ind w:left="240" w:right="0" w:firstLine="0"/>
        <w:jc w:val="left"/>
        <w:rPr>
          <w:b/>
          <w:sz w:val="36"/>
        </w:rPr>
      </w:pPr>
      <w:bookmarkStart w:name="Análisis de Meta [2021-22]" w:id="36"/>
      <w:bookmarkEnd w:id="36"/>
      <w:r>
        <w:rPr/>
      </w:r>
      <w:hyperlink r:id="rId23">
        <w:r>
          <w:rPr>
            <w:b/>
            <w:sz w:val="36"/>
          </w:rPr>
          <w:t>Análisis de Meta [2021-22]</w:t>
        </w:r>
      </w:hyperlink>
    </w:p>
    <w:p>
      <w:pPr>
        <w:pStyle w:val="BodyText"/>
        <w:ind w:left="240"/>
      </w:pPr>
      <w:r>
        <w:rPr/>
        <w:t>Un análisis sobre como esta meta fue realizada en el previo año.</w:t>
      </w:r>
    </w:p>
    <w:p>
      <w:pPr>
        <w:pStyle w:val="BodyText"/>
        <w:tabs>
          <w:tab w:pos="15388" w:val="left" w:leader="none"/>
        </w:tabs>
        <w:ind w:left="240"/>
      </w:pPr>
      <w:r>
        <w:rPr/>
        <w:pict>
          <v:shape style="position:absolute;margin-left:18.5pt;margin-top:20.048847pt;width:755pt;height:21.9pt;mso-position-horizontal-relative:page;mso-position-vertical-relative:paragraph;z-index:-251603968;mso-wrap-distance-left:0;mso-wrap-distance-right:0" type="#_x0000_t202" filled="false" stroked="true" strokeweight="1pt" strokecolor="#8496b0">
            <v:textbox inset="0,0,0,0">
              <w:txbxContent>
                <w:p>
                  <w:pPr>
                    <w:pStyle w:val="BodyText"/>
                    <w:spacing w:before="58"/>
                    <w:ind w:left="48"/>
                  </w:pPr>
                  <w:r>
                    <w:rPr/>
                    <w:t>Análisis de las metas de 2021-22 se llevará a cabo durante el ciclo de actualización de 2022-25.</w:t>
                  </w:r>
                </w:p>
              </w:txbxContent>
            </v:textbox>
            <v:stroke dashstyle="solid"/>
            <w10:wrap type="topAndBottom"/>
          </v:shape>
        </w:pict>
      </w:r>
      <w:r>
        <w:rPr>
          <w:shd w:fill="DBE5F1" w:color="auto" w:val="clear"/>
        </w:rPr>
        <w:t>Una</w:t>
      </w:r>
      <w:r>
        <w:rPr>
          <w:spacing w:val="-4"/>
          <w:shd w:fill="DBE5F1" w:color="auto" w:val="clear"/>
        </w:rPr>
        <w:t> </w:t>
      </w:r>
      <w:r>
        <w:rPr>
          <w:shd w:fill="DBE5F1" w:color="auto" w:val="clear"/>
        </w:rPr>
        <w:t>descripción</w:t>
      </w:r>
      <w:r>
        <w:rPr>
          <w:spacing w:val="-3"/>
          <w:shd w:fill="DBE5F1" w:color="auto" w:val="clear"/>
        </w:rPr>
        <w:t> </w:t>
      </w:r>
      <w:r>
        <w:rPr>
          <w:shd w:fill="DBE5F1" w:color="auto" w:val="clear"/>
        </w:rPr>
        <w:t>de</w:t>
      </w:r>
      <w:r>
        <w:rPr>
          <w:spacing w:val="-4"/>
          <w:shd w:fill="DBE5F1" w:color="auto" w:val="clear"/>
        </w:rPr>
        <w:t> </w:t>
      </w:r>
      <w:r>
        <w:rPr>
          <w:shd w:fill="DBE5F1" w:color="auto" w:val="clear"/>
        </w:rPr>
        <w:t>cualquier</w:t>
      </w:r>
      <w:r>
        <w:rPr>
          <w:spacing w:val="-4"/>
          <w:shd w:fill="DBE5F1" w:color="auto" w:val="clear"/>
        </w:rPr>
        <w:t> </w:t>
      </w:r>
      <w:r>
        <w:rPr>
          <w:shd w:fill="DBE5F1" w:color="auto" w:val="clear"/>
        </w:rPr>
        <w:t>diferencia</w:t>
      </w:r>
      <w:r>
        <w:rPr>
          <w:spacing w:val="-4"/>
          <w:shd w:fill="DBE5F1" w:color="auto" w:val="clear"/>
        </w:rPr>
        <w:t> </w:t>
      </w:r>
      <w:r>
        <w:rPr>
          <w:shd w:fill="DBE5F1" w:color="auto" w:val="clear"/>
        </w:rPr>
        <w:t>significativa</w:t>
      </w:r>
      <w:r>
        <w:rPr>
          <w:spacing w:val="-4"/>
          <w:shd w:fill="DBE5F1" w:color="auto" w:val="clear"/>
        </w:rPr>
        <w:t> </w:t>
      </w:r>
      <w:r>
        <w:rPr>
          <w:shd w:fill="DBE5F1" w:color="auto" w:val="clear"/>
        </w:rPr>
        <w:t>en</w:t>
      </w:r>
      <w:r>
        <w:rPr>
          <w:spacing w:val="-4"/>
          <w:shd w:fill="DBE5F1" w:color="auto" w:val="clear"/>
        </w:rPr>
        <w:t> </w:t>
      </w:r>
      <w:r>
        <w:rPr>
          <w:shd w:fill="DBE5F1" w:color="auto" w:val="clear"/>
        </w:rPr>
        <w:t>acciones</w:t>
      </w:r>
      <w:r>
        <w:rPr>
          <w:spacing w:val="-3"/>
          <w:shd w:fill="DBE5F1" w:color="auto" w:val="clear"/>
        </w:rPr>
        <w:t> </w:t>
      </w:r>
      <w:r>
        <w:rPr>
          <w:shd w:fill="DBE5F1" w:color="auto" w:val="clear"/>
        </w:rPr>
        <w:t>planeadas</w:t>
      </w:r>
      <w:r>
        <w:rPr>
          <w:spacing w:val="-4"/>
          <w:shd w:fill="DBE5F1" w:color="auto" w:val="clear"/>
        </w:rPr>
        <w:t> </w:t>
      </w:r>
      <w:r>
        <w:rPr>
          <w:shd w:fill="DBE5F1" w:color="auto" w:val="clear"/>
        </w:rPr>
        <w:t>y</w:t>
      </w:r>
      <w:r>
        <w:rPr>
          <w:spacing w:val="-3"/>
          <w:shd w:fill="DBE5F1" w:color="auto" w:val="clear"/>
        </w:rPr>
        <w:t> </w:t>
      </w:r>
      <w:r>
        <w:rPr>
          <w:shd w:fill="DBE5F1" w:color="auto" w:val="clear"/>
        </w:rPr>
        <w:t>la</w:t>
      </w:r>
      <w:r>
        <w:rPr>
          <w:spacing w:val="-4"/>
          <w:shd w:fill="DBE5F1" w:color="auto" w:val="clear"/>
        </w:rPr>
        <w:t> </w:t>
      </w:r>
      <w:r>
        <w:rPr>
          <w:shd w:fill="DBE5F1" w:color="auto" w:val="clear"/>
        </w:rPr>
        <w:t>verdadera</w:t>
      </w:r>
      <w:r>
        <w:rPr>
          <w:spacing w:val="-4"/>
          <w:shd w:fill="DBE5F1" w:color="auto" w:val="clear"/>
        </w:rPr>
        <w:t> </w:t>
      </w:r>
      <w:r>
        <w:rPr>
          <w:shd w:fill="DBE5F1" w:color="auto" w:val="clear"/>
        </w:rPr>
        <w:t>implementación</w:t>
      </w:r>
      <w:r>
        <w:rPr>
          <w:spacing w:val="-5"/>
          <w:shd w:fill="DBE5F1" w:color="auto" w:val="clear"/>
        </w:rPr>
        <w:t> </w:t>
      </w:r>
      <w:r>
        <w:rPr>
          <w:shd w:fill="DBE5F1" w:color="auto" w:val="clear"/>
        </w:rPr>
        <w:t>de</w:t>
      </w:r>
      <w:r>
        <w:rPr>
          <w:spacing w:val="-3"/>
          <w:shd w:fill="DBE5F1" w:color="auto" w:val="clear"/>
        </w:rPr>
        <w:t> </w:t>
      </w:r>
      <w:r>
        <w:rPr>
          <w:shd w:fill="DBE5F1" w:color="auto" w:val="clear"/>
        </w:rPr>
        <w:t>estas</w:t>
      </w:r>
      <w:r>
        <w:rPr>
          <w:spacing w:val="-3"/>
          <w:shd w:fill="DBE5F1" w:color="auto" w:val="clear"/>
        </w:rPr>
        <w:t> </w:t>
      </w:r>
      <w:r>
        <w:rPr>
          <w:shd w:fill="DBE5F1" w:color="auto" w:val="clear"/>
        </w:rPr>
        <w:t>acciones.</w:t>
        <w:tab/>
      </w:r>
    </w:p>
    <w:p>
      <w:pPr>
        <w:pStyle w:val="BodyText"/>
        <w:spacing w:before="5"/>
        <w:rPr>
          <w:sz w:val="13"/>
        </w:rPr>
      </w:pPr>
    </w:p>
    <w:p>
      <w:pPr>
        <w:pStyle w:val="BodyText"/>
        <w:tabs>
          <w:tab w:pos="15388" w:val="left" w:leader="none"/>
        </w:tabs>
        <w:spacing w:before="92"/>
        <w:ind w:left="240"/>
      </w:pPr>
      <w:r>
        <w:rPr/>
        <w:pict>
          <v:shape style="position:absolute;margin-left:18.5pt;margin-top:24.64887pt;width:755pt;height:21.9pt;mso-position-horizontal-relative:page;mso-position-vertical-relative:paragraph;z-index:-251602944;mso-wrap-distance-left:0;mso-wrap-distance-right:0" type="#_x0000_t202" filled="false" stroked="true" strokeweight="1pt" strokecolor="#8496b0">
            <v:textbox inset="0,0,0,0">
              <w:txbxContent>
                <w:p>
                  <w:pPr>
                    <w:pStyle w:val="BodyText"/>
                    <w:spacing w:before="58"/>
                    <w:ind w:left="48"/>
                  </w:pPr>
                  <w:r>
                    <w:rPr/>
                    <w:t>Análisis de las metas de 2021-22 se llevará a cabo durante el ciclo de actualización de 2022-25.</w:t>
                  </w:r>
                </w:p>
              </w:txbxContent>
            </v:textbox>
            <v:stroke dashstyle="solid"/>
            <w10:wrap type="topAndBottom"/>
          </v:shape>
        </w:pict>
      </w:r>
      <w:r>
        <w:rPr>
          <w:shd w:fill="DBE5F1" w:color="auto" w:val="clear"/>
        </w:rPr>
        <w:t>Una explicación de las diferencias materiales entre los Gastos Presupuestados y Estimados Gastos</w:t>
      </w:r>
      <w:r>
        <w:rPr>
          <w:spacing w:val="-39"/>
          <w:shd w:fill="DBE5F1" w:color="auto" w:val="clear"/>
        </w:rPr>
        <w:t> </w:t>
      </w:r>
      <w:r>
        <w:rPr>
          <w:shd w:fill="DBE5F1" w:color="auto" w:val="clear"/>
        </w:rPr>
        <w:t>Reales.</w:t>
        <w:tab/>
      </w:r>
    </w:p>
    <w:p>
      <w:pPr>
        <w:spacing w:after="0"/>
        <w:sectPr>
          <w:pgSz w:w="15840" w:h="12240" w:orient="landscape"/>
          <w:pgMar w:header="0" w:footer="284" w:top="660" w:bottom="560" w:left="120" w:right="120"/>
        </w:sectPr>
      </w:pPr>
    </w:p>
    <w:p>
      <w:pPr>
        <w:pStyle w:val="BodyText"/>
        <w:tabs>
          <w:tab w:pos="15388" w:val="left" w:leader="none"/>
        </w:tabs>
        <w:spacing w:before="76"/>
        <w:ind w:left="240"/>
      </w:pPr>
      <w:r>
        <w:rPr/>
        <w:pict>
          <v:shape style="position:absolute;margin-left:18.5pt;margin-top:23.848866pt;width:755pt;height:21.9pt;mso-position-horizontal-relative:page;mso-position-vertical-relative:paragraph;z-index:-251600896;mso-wrap-distance-left:0;mso-wrap-distance-right:0" type="#_x0000_t202" filled="false" stroked="true" strokeweight="1pt" strokecolor="#8496b0">
            <v:textbox inset="0,0,0,0">
              <w:txbxContent>
                <w:p>
                  <w:pPr>
                    <w:pStyle w:val="BodyText"/>
                    <w:spacing w:before="58"/>
                    <w:ind w:left="48"/>
                  </w:pPr>
                  <w:r>
                    <w:rPr/>
                    <w:t>Análisis de las metas de 2021-22 se llevará a cabo durante el ciclo de actualización de 2022-25.</w:t>
                  </w:r>
                </w:p>
              </w:txbxContent>
            </v:textbox>
            <v:stroke dashstyle="solid"/>
            <w10:wrap type="topAndBottom"/>
          </v:shape>
        </w:pict>
      </w:r>
      <w:r>
        <w:rPr/>
        <w:pict>
          <v:shape style="position:absolute;margin-left:16.549999pt;margin-top:60.047867pt;width:758.9pt;height:27.6pt;mso-position-horizontal-relative:page;mso-position-vertical-relative:paragraph;z-index:-251599872;mso-wrap-distance-left:0;mso-wrap-distance-right:0" type="#_x0000_t202" filled="true" fillcolor="#dbe5f1" stroked="false">
            <v:textbox inset="0,0,0,0">
              <w:txbxContent>
                <w:p>
                  <w:pPr>
                    <w:pStyle w:val="BodyText"/>
                    <w:ind w:left="29" w:right="773"/>
                  </w:pPr>
                  <w:r>
                    <w:rPr/>
                    <w:t>Una descripción sobre cualquier cambio hecho a la meta planeada, medidas, resultados deseados o acciones para el próximo año que resultó de reflexiones sobre previa práctica.</w:t>
                  </w:r>
                </w:p>
              </w:txbxContent>
            </v:textbox>
            <v:fill type="solid"/>
            <w10:wrap type="topAndBottom"/>
          </v:shape>
        </w:pict>
      </w:r>
      <w:r>
        <w:rPr/>
        <w:pict>
          <v:shape style="position:absolute;margin-left:18.5pt;margin-top:93.895866pt;width:755pt;height:21.9pt;mso-position-horizontal-relative:page;mso-position-vertical-relative:paragraph;z-index:-251598848;mso-wrap-distance-left:0;mso-wrap-distance-right:0" type="#_x0000_t202" filled="false" stroked="true" strokeweight="1pt" strokecolor="#8496b0">
            <v:textbox inset="0,0,0,0">
              <w:txbxContent>
                <w:p>
                  <w:pPr>
                    <w:pStyle w:val="BodyText"/>
                    <w:spacing w:before="58"/>
                    <w:ind w:left="48"/>
                  </w:pPr>
                  <w:r>
                    <w:rPr/>
                    <w:t>Análisis de las metas de 2021-22 se llevará a cabo durante el ciclo de actualización de 2022-25.</w:t>
                  </w:r>
                </w:p>
              </w:txbxContent>
            </v:textbox>
            <v:stroke dashstyle="solid"/>
            <w10:wrap type="topAndBottom"/>
          </v:shape>
        </w:pict>
      </w:r>
      <w:r>
        <w:rPr>
          <w:shd w:fill="DBE5F1" w:color="auto" w:val="clear"/>
        </w:rPr>
        <w:t>Una</w:t>
      </w:r>
      <w:r>
        <w:rPr>
          <w:spacing w:val="-4"/>
          <w:shd w:fill="DBE5F1" w:color="auto" w:val="clear"/>
        </w:rPr>
        <w:t> </w:t>
      </w:r>
      <w:r>
        <w:rPr>
          <w:shd w:fill="DBE5F1" w:color="auto" w:val="clear"/>
        </w:rPr>
        <w:t>explicación</w:t>
      </w:r>
      <w:r>
        <w:rPr>
          <w:spacing w:val="-4"/>
          <w:shd w:fill="DBE5F1" w:color="auto" w:val="clear"/>
        </w:rPr>
        <w:t> </w:t>
      </w:r>
      <w:r>
        <w:rPr>
          <w:shd w:fill="DBE5F1" w:color="auto" w:val="clear"/>
        </w:rPr>
        <w:t>sobre</w:t>
      </w:r>
      <w:r>
        <w:rPr>
          <w:spacing w:val="-3"/>
          <w:shd w:fill="DBE5F1" w:color="auto" w:val="clear"/>
        </w:rPr>
        <w:t> </w:t>
      </w:r>
      <w:r>
        <w:rPr>
          <w:shd w:fill="DBE5F1" w:color="auto" w:val="clear"/>
        </w:rPr>
        <w:t>qué</w:t>
      </w:r>
      <w:r>
        <w:rPr>
          <w:spacing w:val="-4"/>
          <w:shd w:fill="DBE5F1" w:color="auto" w:val="clear"/>
        </w:rPr>
        <w:t> </w:t>
      </w:r>
      <w:r>
        <w:rPr>
          <w:shd w:fill="DBE5F1" w:color="auto" w:val="clear"/>
        </w:rPr>
        <w:t>tan</w:t>
      </w:r>
      <w:r>
        <w:rPr>
          <w:spacing w:val="-4"/>
          <w:shd w:fill="DBE5F1" w:color="auto" w:val="clear"/>
        </w:rPr>
        <w:t> </w:t>
      </w:r>
      <w:r>
        <w:rPr>
          <w:shd w:fill="DBE5F1" w:color="auto" w:val="clear"/>
        </w:rPr>
        <w:t>efectivas</w:t>
      </w:r>
      <w:r>
        <w:rPr>
          <w:spacing w:val="-3"/>
          <w:shd w:fill="DBE5F1" w:color="auto" w:val="clear"/>
        </w:rPr>
        <w:t> </w:t>
      </w:r>
      <w:r>
        <w:rPr>
          <w:shd w:fill="DBE5F1" w:color="auto" w:val="clear"/>
        </w:rPr>
        <w:t>fueron</w:t>
      </w:r>
      <w:r>
        <w:rPr>
          <w:spacing w:val="-4"/>
          <w:shd w:fill="DBE5F1" w:color="auto" w:val="clear"/>
        </w:rPr>
        <w:t> </w:t>
      </w:r>
      <w:r>
        <w:rPr>
          <w:shd w:fill="DBE5F1" w:color="auto" w:val="clear"/>
        </w:rPr>
        <w:t>las</w:t>
      </w:r>
      <w:r>
        <w:rPr>
          <w:spacing w:val="-4"/>
          <w:shd w:fill="DBE5F1" w:color="auto" w:val="clear"/>
        </w:rPr>
        <w:t> </w:t>
      </w:r>
      <w:r>
        <w:rPr>
          <w:shd w:fill="DBE5F1" w:color="auto" w:val="clear"/>
        </w:rPr>
        <w:t>acciones</w:t>
      </w:r>
      <w:r>
        <w:rPr>
          <w:spacing w:val="-3"/>
          <w:shd w:fill="DBE5F1" w:color="auto" w:val="clear"/>
        </w:rPr>
        <w:t> </w:t>
      </w:r>
      <w:r>
        <w:rPr>
          <w:shd w:fill="DBE5F1" w:color="auto" w:val="clear"/>
        </w:rPr>
        <w:t>específicas</w:t>
      </w:r>
      <w:r>
        <w:rPr>
          <w:spacing w:val="-3"/>
          <w:shd w:fill="DBE5F1" w:color="auto" w:val="clear"/>
        </w:rPr>
        <w:t> </w:t>
      </w:r>
      <w:r>
        <w:rPr>
          <w:shd w:fill="DBE5F1" w:color="auto" w:val="clear"/>
        </w:rPr>
        <w:t>en</w:t>
      </w:r>
      <w:r>
        <w:rPr>
          <w:spacing w:val="-3"/>
          <w:shd w:fill="DBE5F1" w:color="auto" w:val="clear"/>
        </w:rPr>
        <w:t> </w:t>
      </w:r>
      <w:r>
        <w:rPr>
          <w:shd w:fill="DBE5F1" w:color="auto" w:val="clear"/>
        </w:rPr>
        <w:t>lograr</w:t>
      </w:r>
      <w:r>
        <w:rPr>
          <w:spacing w:val="-5"/>
          <w:shd w:fill="DBE5F1" w:color="auto" w:val="clear"/>
        </w:rPr>
        <w:t> </w:t>
      </w:r>
      <w:r>
        <w:rPr>
          <w:shd w:fill="DBE5F1" w:color="auto" w:val="clear"/>
        </w:rPr>
        <w:t>progreso</w:t>
      </w:r>
      <w:r>
        <w:rPr>
          <w:spacing w:val="-4"/>
          <w:shd w:fill="DBE5F1" w:color="auto" w:val="clear"/>
        </w:rPr>
        <w:t> </w:t>
      </w:r>
      <w:r>
        <w:rPr>
          <w:shd w:fill="DBE5F1" w:color="auto" w:val="clear"/>
        </w:rPr>
        <w:t>hacia</w:t>
      </w:r>
      <w:r>
        <w:rPr>
          <w:spacing w:val="-3"/>
          <w:shd w:fill="DBE5F1" w:color="auto" w:val="clear"/>
        </w:rPr>
        <w:t> </w:t>
      </w:r>
      <w:r>
        <w:rPr>
          <w:shd w:fill="DBE5F1" w:color="auto" w:val="clear"/>
        </w:rPr>
        <w:t>la</w:t>
      </w:r>
      <w:r>
        <w:rPr>
          <w:spacing w:val="-3"/>
          <w:shd w:fill="DBE5F1" w:color="auto" w:val="clear"/>
        </w:rPr>
        <w:t> </w:t>
      </w:r>
      <w:r>
        <w:rPr>
          <w:shd w:fill="DBE5F1" w:color="auto" w:val="clear"/>
        </w:rPr>
        <w:t>meta.</w:t>
        <w:tab/>
      </w:r>
    </w:p>
    <w:p>
      <w:pPr>
        <w:pStyle w:val="BodyText"/>
        <w:spacing w:before="4"/>
        <w:rPr>
          <w:sz w:val="19"/>
        </w:rPr>
      </w:pPr>
    </w:p>
    <w:p>
      <w:pPr>
        <w:pStyle w:val="BodyText"/>
        <w:spacing w:before="3"/>
        <w:rPr>
          <w:sz w:val="5"/>
        </w:rPr>
      </w:pPr>
    </w:p>
    <w:p>
      <w:pPr>
        <w:pStyle w:val="BodyText"/>
        <w:spacing w:before="5"/>
        <w:rPr>
          <w:sz w:val="13"/>
        </w:rPr>
      </w:pPr>
    </w:p>
    <w:p>
      <w:pPr>
        <w:spacing w:before="92"/>
        <w:ind w:left="240" w:right="495" w:firstLine="0"/>
        <w:jc w:val="left"/>
        <w:rPr>
          <w:b/>
          <w:sz w:val="24"/>
        </w:rPr>
      </w:pPr>
      <w:r>
        <w:rPr>
          <w:b/>
          <w:sz w:val="24"/>
        </w:rPr>
        <w:t>Un informe de los Estimados Gastos Verdaderos para las acciones del año pasado se puede encontrar en la Tabla de Gastos para Actualización Anual.</w:t>
      </w:r>
    </w:p>
    <w:p>
      <w:pPr>
        <w:spacing w:after="0"/>
        <w:jc w:val="left"/>
        <w:rPr>
          <w:sz w:val="24"/>
        </w:rPr>
        <w:sectPr>
          <w:pgSz w:w="15840" w:h="12240" w:orient="landscape"/>
          <w:pgMar w:header="0" w:footer="284" w:top="560" w:bottom="560" w:left="120" w:right="120"/>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9" w:after="1"/>
        <w:rPr>
          <w:b/>
          <w:sz w:val="12"/>
        </w:rPr>
      </w:pPr>
    </w:p>
    <w:tbl>
      <w:tblPr>
        <w:tblW w:w="0" w:type="auto"/>
        <w:jc w:val="left"/>
        <w:tblInd w:w="250" w:type="dxa"/>
        <w:tblBorders>
          <w:top w:val="single" w:sz="4" w:space="0" w:color="0F243E"/>
          <w:left w:val="single" w:sz="4" w:space="0" w:color="0F243E"/>
          <w:bottom w:val="single" w:sz="4" w:space="0" w:color="0F243E"/>
          <w:right w:val="single" w:sz="4" w:space="0" w:color="0F243E"/>
          <w:insideH w:val="single" w:sz="4" w:space="0" w:color="0F243E"/>
          <w:insideV w:val="single" w:sz="4" w:space="0" w:color="0F243E"/>
        </w:tblBorders>
        <w:tblLayout w:type="fixed"/>
        <w:tblCellMar>
          <w:top w:w="0" w:type="dxa"/>
          <w:left w:w="0" w:type="dxa"/>
          <w:bottom w:w="0" w:type="dxa"/>
          <w:right w:w="0" w:type="dxa"/>
        </w:tblCellMar>
        <w:tblLook w:val="01E0"/>
      </w:tblPr>
      <w:tblGrid>
        <w:gridCol w:w="4810"/>
        <w:gridCol w:w="10300"/>
      </w:tblGrid>
      <w:tr>
        <w:trPr>
          <w:trHeight w:val="609" w:hRule="atLeast"/>
        </w:trPr>
        <w:tc>
          <w:tcPr>
            <w:tcW w:w="4810" w:type="dxa"/>
            <w:shd w:val="clear" w:color="auto" w:fill="DBE5F1"/>
          </w:tcPr>
          <w:p>
            <w:pPr>
              <w:pStyle w:val="TableParagraph"/>
              <w:spacing w:line="270" w:lineRule="atLeast" w:before="58"/>
              <w:ind w:left="58" w:right="973"/>
              <w:rPr>
                <w:sz w:val="24"/>
              </w:rPr>
            </w:pPr>
            <w:bookmarkStart w:name="Servicios Aumentados o Mejorados para Jó" w:id="37"/>
            <w:bookmarkEnd w:id="37"/>
            <w:r>
              <w:rPr/>
            </w:r>
            <w:r>
              <w:rPr>
                <w:sz w:val="24"/>
              </w:rPr>
              <w:t>Porcentaje por Aumentar o Mejorar Servicios</w:t>
            </w:r>
          </w:p>
        </w:tc>
        <w:tc>
          <w:tcPr>
            <w:tcW w:w="10300" w:type="dxa"/>
            <w:shd w:val="clear" w:color="auto" w:fill="DBE5F1"/>
          </w:tcPr>
          <w:p>
            <w:pPr>
              <w:pStyle w:val="TableParagraph"/>
              <w:spacing w:line="270" w:lineRule="atLeast" w:before="58"/>
              <w:ind w:left="58" w:right="1340"/>
              <w:rPr>
                <w:sz w:val="24"/>
              </w:rPr>
            </w:pPr>
            <w:r>
              <w:rPr>
                <w:sz w:val="24"/>
              </w:rPr>
              <w:t>Distribución Aumentada basada en la Inscripción de Jóvenes de Crianza Temporal, Estudiantes del Inglés y Alumnos de Escasos Recursos</w:t>
            </w:r>
          </w:p>
        </w:tc>
      </w:tr>
      <w:tr>
        <w:trPr>
          <w:trHeight w:val="417" w:hRule="atLeast"/>
        </w:trPr>
        <w:tc>
          <w:tcPr>
            <w:tcW w:w="4810" w:type="dxa"/>
          </w:tcPr>
          <w:p>
            <w:pPr>
              <w:pStyle w:val="TableParagraph"/>
              <w:spacing w:before="58"/>
              <w:ind w:left="58"/>
              <w:rPr>
                <w:sz w:val="24"/>
              </w:rPr>
            </w:pPr>
            <w:r>
              <w:rPr>
                <w:sz w:val="24"/>
              </w:rPr>
              <w:t>30.77%</w:t>
            </w:r>
          </w:p>
        </w:tc>
        <w:tc>
          <w:tcPr>
            <w:tcW w:w="10300" w:type="dxa"/>
          </w:tcPr>
          <w:p>
            <w:pPr>
              <w:pStyle w:val="TableParagraph"/>
              <w:spacing w:before="58"/>
              <w:ind w:left="58"/>
              <w:rPr>
                <w:sz w:val="24"/>
              </w:rPr>
            </w:pPr>
            <w:r>
              <w:rPr>
                <w:sz w:val="24"/>
              </w:rPr>
              <w:t>$322,271</w:t>
            </w:r>
          </w:p>
        </w:tc>
      </w:tr>
    </w:tbl>
    <w:p>
      <w:pPr>
        <w:pStyle w:val="BodyText"/>
        <w:spacing w:before="11"/>
        <w:rPr>
          <w:b/>
          <w:sz w:val="15"/>
        </w:rPr>
      </w:pPr>
    </w:p>
    <w:p>
      <w:pPr>
        <w:spacing w:before="92"/>
        <w:ind w:left="240" w:right="429" w:firstLine="0"/>
        <w:jc w:val="left"/>
        <w:rPr>
          <w:b/>
          <w:sz w:val="24"/>
        </w:rPr>
      </w:pPr>
      <w:r>
        <w:rPr/>
        <w:pict>
          <v:shape style="position:absolute;margin-left:11.425pt;margin-top:-127.267151pt;width:769.15pt;height:50.25pt;mso-position-horizontal-relative:page;mso-position-vertical-relative:paragraph;z-index:251720704" type="#_x0000_t202" filled="true" fillcolor="#dbe5f1" stroked="true" strokeweight="2.25pt" strokecolor="#000000">
            <v:textbox inset="0,0,0,0">
              <w:txbxContent>
                <w:p>
                  <w:pPr>
                    <w:spacing w:before="20"/>
                    <w:ind w:left="108" w:right="1605" w:firstLine="0"/>
                    <w:jc w:val="left"/>
                    <w:rPr>
                      <w:b/>
                      <w:sz w:val="40"/>
                    </w:rPr>
                  </w:pPr>
                  <w:hyperlink r:id="rId24">
                    <w:r>
                      <w:rPr>
                        <w:b/>
                        <w:sz w:val="40"/>
                      </w:rPr>
                      <w:t>Servicios Aumentados o Mejorados para Jóvenes de Crianza Temporal,</w:t>
                    </w:r>
                  </w:hyperlink>
                  <w:r>
                    <w:rPr>
                      <w:b/>
                      <w:sz w:val="40"/>
                    </w:rPr>
                    <w:t> </w:t>
                  </w:r>
                  <w:hyperlink r:id="rId24">
                    <w:r>
                      <w:rPr>
                        <w:b/>
                        <w:sz w:val="40"/>
                      </w:rPr>
                      <w:t>Estudiantes del Inglés y Alumnos de Bajos Ingresos [2021-22]</w:t>
                    </w:r>
                  </w:hyperlink>
                </w:p>
              </w:txbxContent>
            </v:textbox>
            <v:fill type="solid"/>
            <v:stroke dashstyle="solid"/>
            <w10:wrap type="none"/>
          </v:shape>
        </w:pict>
      </w:r>
      <w:r>
        <w:rPr>
          <w:b/>
          <w:sz w:val="24"/>
        </w:rPr>
        <w:t>Los Gastos Presupuestos para Acciones identificadas como Contribuyendo pueden encontrarse en la Tabla Gastos para Aumento o Mejora de Servicios.</w:t>
      </w:r>
    </w:p>
    <w:p>
      <w:pPr>
        <w:pStyle w:val="BodyText"/>
        <w:rPr>
          <w:b/>
        </w:rPr>
      </w:pPr>
    </w:p>
    <w:p>
      <w:pPr>
        <w:spacing w:before="0"/>
        <w:ind w:left="240" w:right="0" w:firstLine="0"/>
        <w:jc w:val="left"/>
        <w:rPr>
          <w:b/>
          <w:sz w:val="36"/>
        </w:rPr>
      </w:pPr>
      <w:r>
        <w:rPr/>
        <w:pict>
          <v:shape style="position:absolute;margin-left:16.549999pt;margin-top:26.447788pt;width:758.9pt;height:41.4pt;mso-position-horizontal-relative:page;mso-position-vertical-relative:paragraph;z-index:-251597824;mso-wrap-distance-left:0;mso-wrap-distance-right:0" type="#_x0000_t202" filled="true" fillcolor="#dbe5f1" stroked="false">
            <v:textbox inset="0,0,0,0">
              <w:txbxContent>
                <w:p>
                  <w:pPr>
                    <w:pStyle w:val="BodyText"/>
                    <w:ind w:left="29" w:right="15"/>
                  </w:pPr>
                  <w:r>
                    <w:rPr/>
                    <w:t>Para cada acción siendo proporcionada a una escuela entera o a lo largo del distrito escolar entero u oficina de educación del condado (COE, por sus siglas en inglés), una explicación sobre (1) como las necesidades de los jóvenes de crianza temporal, estudiantes del inglés y alumnos de escasos recursos fueron primero considerados y (2) cómo estas acciones son efectivas en cumplir las metas para estos alumnos.</w:t>
                  </w:r>
                </w:p>
              </w:txbxContent>
            </v:textbox>
            <v:fill type="solid"/>
            <w10:wrap type="topAndBottom"/>
          </v:shape>
        </w:pict>
      </w:r>
      <w:bookmarkStart w:name="Descripciones Requeridas" w:id="38"/>
      <w:bookmarkEnd w:id="38"/>
      <w:r>
        <w:rPr/>
      </w:r>
      <w:hyperlink r:id="rId25">
        <w:r>
          <w:rPr>
            <w:b/>
            <w:sz w:val="36"/>
          </w:rPr>
          <w:t>Descripciones Requeridas</w:t>
        </w:r>
      </w:hyperlink>
    </w:p>
    <w:p>
      <w:pPr>
        <w:pStyle w:val="BodyText"/>
        <w:spacing w:before="5"/>
        <w:rPr>
          <w:b/>
          <w:sz w:val="12"/>
        </w:rPr>
      </w:pPr>
    </w:p>
    <w:p>
      <w:pPr>
        <w:pStyle w:val="BodyText"/>
        <w:spacing w:before="93"/>
        <w:ind w:left="366"/>
      </w:pPr>
      <w:r>
        <w:rPr/>
        <w:pict>
          <v:shape style="position:absolute;margin-left:-.5pt;margin-top:32.987862pt;width:756pt;height:282.8pt;mso-position-horizontal-relative:page;mso-position-vertical-relative:paragraph;z-index:-256636928" coordorigin="-10,660" coordsize="15120,5656" path="m370,-23l370,5613m15470,-23l15470,5613m360,-33l15480,-33m360,5623l15480,5623e" filled="false" stroked="true" strokeweight="1pt" strokecolor="#8496b0">
            <v:path arrowok="t"/>
            <v:stroke dashstyle="solid"/>
            <w10:wrap type="none"/>
          </v:shape>
        </w:pict>
      </w:r>
      <w:r>
        <w:rPr/>
        <w:t>2021-2022</w:t>
      </w:r>
    </w:p>
    <w:p>
      <w:pPr>
        <w:pStyle w:val="BodyText"/>
        <w:ind w:left="366" w:right="1540"/>
      </w:pPr>
      <w:r>
        <w:rPr/>
        <w:t>El Distrito Escolar Primario de Winship-Robbins recibió $322,271 en fondos suplementarios y de concentración de la Fórmula de Financiamiento y Control Local (LCFF, por sus siglas en inglés) apoyando a nuestro 89.6% de alumnos sin duplicar.</w:t>
      </w:r>
    </w:p>
    <w:p>
      <w:pPr>
        <w:pStyle w:val="BodyText"/>
      </w:pPr>
    </w:p>
    <w:p>
      <w:pPr>
        <w:pStyle w:val="BodyText"/>
        <w:ind w:left="366" w:right="485"/>
      </w:pPr>
      <w:r>
        <w:rPr/>
        <w:t>Los perfiles demográficos del Distrito Escolar Primario de Winship-Robbins (W-RESD, por sus siglas en inglés) indican que el 82% de nuestros alumnos califican para comida gratis o de precio reducido. El distrito también tiene el 40% de la población estudiantil como Estudiantes del inglés. Estos perfiles demográficos indican la necesidad de que todas las metas del distrito estén identificadas para cerrar la brecha de logros académicos y abordar la pérdida de aprendizaje para estas poblaciones identificadas. Al implementar las metas y los pasos a seguir mencionados anteriormente, los cuales son efectivos y están principalmente orientados, cerraremos la brecha de logros académicos. Nuestro distrito está comprometido a personalizar el aprendizaje y el alto rendimiento a través de una excelente enseñanza y aprendizaje, así como sistemas sólidos de responsabilidad. (1.2, 1.4) También reconocemos que la salud socioemocional de nuestros alumnos es de suma importancia, especialmente en estos tiempos sin precedentes con algunos alumnos que no asisten a la escuela presencial durante más de 18 meses. Cada alumno es supervisado de cerca para el éxito durante todo el ciclo escolar. (2.4) Al proporcionar estos servicios en todo el distrito, podemos llegar y servir a las poblaciones que generan los fondos. (1.1, 1.5) La Primaria Robbins recibe y opera bajo los programas de Título I a nivel escolar.</w:t>
      </w:r>
    </w:p>
    <w:p>
      <w:pPr>
        <w:pStyle w:val="BodyText"/>
      </w:pPr>
    </w:p>
    <w:p>
      <w:pPr>
        <w:pStyle w:val="ListParagraph"/>
        <w:numPr>
          <w:ilvl w:val="1"/>
          <w:numId w:val="2"/>
        </w:numPr>
        <w:tabs>
          <w:tab w:pos="847" w:val="left" w:leader="none"/>
        </w:tabs>
        <w:spacing w:line="240" w:lineRule="auto" w:before="0" w:after="0"/>
        <w:ind w:left="366" w:right="571" w:firstLine="0"/>
        <w:jc w:val="left"/>
        <w:rPr>
          <w:sz w:val="24"/>
        </w:rPr>
      </w:pPr>
      <w:r>
        <w:rPr>
          <w:sz w:val="24"/>
        </w:rPr>
        <w:t>ESD cree que los servicios proporcionados en el Plan de Contabilidad y Control Local (LCAP, por sus siglas en inglés), proporcionados a nivel distrital, son el uso más eficaz de los fondos para cumplir con los Resultados Medibles Anuales del distrito para todos los alumnos, incluidos todos los alumnos sin duplicar. Las actividades y fondos anteriores se utilizarán para implementar servicios a nivel distrital que están principalmente orientados a todos los alumnos sin duplicar y a grupos de alumnos</w:t>
      </w:r>
      <w:r>
        <w:rPr>
          <w:spacing w:val="-29"/>
          <w:sz w:val="24"/>
        </w:rPr>
        <w:t> </w:t>
      </w:r>
      <w:r>
        <w:rPr>
          <w:sz w:val="24"/>
        </w:rPr>
        <w:t>específicos.</w:t>
      </w:r>
    </w:p>
    <w:p>
      <w:pPr>
        <w:spacing w:after="0" w:line="240" w:lineRule="auto"/>
        <w:jc w:val="left"/>
        <w:rPr>
          <w:sz w:val="24"/>
        </w:rPr>
        <w:sectPr>
          <w:pgSz w:w="15840" w:h="12240" w:orient="landscape"/>
          <w:pgMar w:header="0" w:footer="284" w:top="940" w:bottom="560" w:left="120" w:right="120"/>
        </w:sectPr>
      </w:pPr>
    </w:p>
    <w:p>
      <w:pPr>
        <w:pStyle w:val="BodyText"/>
        <w:spacing w:before="5"/>
        <w:rPr>
          <w:sz w:val="27"/>
        </w:rPr>
      </w:pPr>
    </w:p>
    <w:p>
      <w:pPr>
        <w:pStyle w:val="BodyText"/>
        <w:spacing w:before="92"/>
        <w:ind w:left="366" w:right="458"/>
      </w:pPr>
      <w:r>
        <w:rPr/>
        <w:pict>
          <v:shape style="position:absolute;margin-left:-.5pt;margin-top:336.117859pt;width:756pt;height:227.6pt;mso-position-horizontal-relative:page;mso-position-vertical-relative:paragraph;z-index:-256632832" coordorigin="-10,6722" coordsize="15120,4552" path="m370,-300l370,4232m15470,-300l15470,4232m360,-310l15480,-310m360,4242l15480,4242e" filled="false" stroked="true" strokeweight="1pt" strokecolor="#8496b0">
            <v:path arrowok="t"/>
            <v:stroke dashstyle="solid"/>
            <w10:wrap type="none"/>
          </v:shape>
        </w:pict>
      </w:r>
      <w:r>
        <w:rPr/>
        <w:t>La mayoría de estos fondos se seguirán gastando en el personal contratado para apoyar el logro estudiantil, abordar la pérdida de aprendizaje y acelerar el aprendizaje. La mayor cantidad de fondos está principalmente orientada para contratar a dos maestros para brindar instrucción a todos los alumnos, mantener un tamaño pequeño de la clase para abordar la pérdida de aprendizaje y acelerar el aprendizaje de una manera que brinde más oportunidades de instrucción individualizadas. (1.1, 1.2, 1.4, 1.6) La compra de un nuevo currículo de ciencias asegurará que nuestros alumnos reciban instrucción utilizando materiales alineados con el currículo. (1.3) Además, debido a que W-RESD tiene una tasa de ausentismo crónico del 12.9% para todos los grupos de alumnos y la tasa de nuestros alumnos en desventaja socioeconómica es del 13.9%, los fondos se están utilizando para garantizar que se proporcione transporte gratuito para los alumnos. (2.2) La supervisación de las ausencias, la comunicación con las familias, la recopilación de datos de tecnología y de evaluación ocurre para abordar las necesidades de todos nuestros alumnos enfatizando en nuestros jóvenes de crianza temporal, estudiantes del inglés y alumnos de bajos recursos. (2.2) Se han contratado auxiliares docentes adicionales y se contratarán según sea necesario para brindar intervenciones intensivas a todos los alumnos enfatizando en nuestros estudiantes del inglés, alumnos en desventaja socioeconómica baja, jóvenes de crianza temporal, jóvenes indigentes y alumnos con necesidades especiales. (1.6)</w:t>
      </w:r>
    </w:p>
    <w:p>
      <w:pPr>
        <w:pStyle w:val="BodyText"/>
      </w:pPr>
    </w:p>
    <w:p>
      <w:pPr>
        <w:pStyle w:val="BodyText"/>
        <w:ind w:left="366"/>
      </w:pPr>
      <w:r>
        <w:rPr/>
        <w:t>La implementación de los servicios se medirá tanto de forma cualitativa como cuantitativa.</w:t>
      </w:r>
    </w:p>
    <w:p>
      <w:pPr>
        <w:pStyle w:val="BodyText"/>
        <w:rPr>
          <w:sz w:val="20"/>
        </w:rPr>
      </w:pPr>
    </w:p>
    <w:p>
      <w:pPr>
        <w:pStyle w:val="BodyText"/>
        <w:spacing w:before="8"/>
        <w:rPr>
          <w:sz w:val="27"/>
        </w:rPr>
      </w:pPr>
      <w:r>
        <w:rPr/>
        <w:pict>
          <v:shape style="position:absolute;margin-left:16.549999pt;margin-top:17.125696pt;width:758.9pt;height:27.6pt;mso-position-horizontal-relative:page;mso-position-vertical-relative:paragraph;z-index:-251594752;mso-wrap-distance-left:0;mso-wrap-distance-right:0" type="#_x0000_t202" filled="true" fillcolor="#dbe5f1" stroked="false">
            <v:textbox inset="0,0,0,0">
              <w:txbxContent>
                <w:p>
                  <w:pPr>
                    <w:pStyle w:val="BodyText"/>
                    <w:ind w:left="29" w:right="201"/>
                  </w:pPr>
                  <w:r>
                    <w:rPr/>
                    <w:t>Una descripción sobre como los servicios para los jóvenes de crianza temporal, estudiantes del inglés y alumnos de escasos recursos están siendo aumentados o mejorados por el porcentaje requerido.</w:t>
                  </w:r>
                </w:p>
              </w:txbxContent>
            </v:textbox>
            <v:fill type="solid"/>
            <w10:wrap type="topAndBottom"/>
          </v:shape>
        </w:pict>
      </w:r>
      <w:r>
        <w:rPr/>
        <w:pict>
          <v:shape style="position:absolute;margin-left:18.5pt;margin-top:50.97369pt;width:755pt;height:100.5pt;mso-position-horizontal-relative:page;mso-position-vertical-relative:paragraph;z-index:-251593728;mso-wrap-distance-left:0;mso-wrap-distance-right:0" type="#_x0000_t202" filled="false" stroked="true" strokeweight="1pt" strokecolor="#8496b0">
            <v:textbox inset="0,0,0,0">
              <w:txbxContent>
                <w:p>
                  <w:pPr>
                    <w:pStyle w:val="BodyText"/>
                    <w:spacing w:before="58"/>
                    <w:ind w:left="48" w:right="137"/>
                  </w:pPr>
                  <w:r>
                    <w:rPr/>
                    <w:t>Los datos de evaluación se analizarán para identificar a los alumnos para las intervenciones durante la escuela, instrucción adicional extracurricular y escuela de verano, alumnos sin duplicar serán identificados específicamente y realizaremos un seguimiento de su crecimiento utilizando los resultados de las evaluaciones tanto formal como informalmente, las tasas de asistencia y participación. Los servicios para los jóvenes de crianza temporal, los alumnos de bajos recursos y los estudiantes del inglés se incrementarán en calidad al garantizar que el currículo y los materiales utilizados en la instrucción estén estandarizados y sean apropiadamente rigurosos. Los servicios se mejorarán en cantidad a través del Director de currículo e instrucción que proporcionará instrucción y apoyo en el programa Desarrollo del Idioma Inglés (ELD, por sus siglas en inglés) y, además, aumentará la capacitación profesional en ELD.</w:t>
                  </w:r>
                </w:p>
              </w:txbxContent>
            </v:textbox>
            <v:stroke dashstyle="solid"/>
            <w10:wrap type="topAndBottom"/>
          </v:shape>
        </w:pict>
      </w:r>
    </w:p>
    <w:p>
      <w:pPr>
        <w:pStyle w:val="BodyText"/>
        <w:spacing w:before="3"/>
        <w:rPr>
          <w:sz w:val="5"/>
        </w:rPr>
      </w:pPr>
    </w:p>
    <w:p>
      <w:pPr>
        <w:spacing w:after="0"/>
        <w:rPr>
          <w:sz w:val="5"/>
        </w:rPr>
        <w:sectPr>
          <w:pgSz w:w="15840" w:h="12240" w:orient="landscape"/>
          <w:pgMar w:header="0" w:footer="284" w:top="640" w:bottom="560" w:left="120" w:right="120"/>
        </w:sectPr>
      </w:pPr>
    </w:p>
    <w:p>
      <w:pPr>
        <w:spacing w:before="72"/>
        <w:ind w:left="240" w:right="0" w:firstLine="0"/>
        <w:jc w:val="left"/>
        <w:rPr>
          <w:b/>
          <w:sz w:val="24"/>
        </w:rPr>
      </w:pPr>
      <w:r>
        <w:rPr/>
        <w:pict>
          <v:shape style="position:absolute;margin-left:426.450012pt;margin-top:86.496857pt;width:347.05pt;height:42.3pt;mso-position-horizontal-relative:page;mso-position-vertical-relative:paragraph;z-index:251724800" type="#_x0000_t202" filled="false" stroked="false">
            <v:textbox inset="0,0,0,0">
              <w:txbxContent>
                <w:tbl>
                  <w:tblPr>
                    <w:tblCellSpacing w:w="5" w:type="dxa"/>
                    <w:tblW w:w="0" w:type="auto"/>
                    <w:jc w:val="left"/>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99"/>
                    <w:gridCol w:w="2823"/>
                    <w:gridCol w:w="2819"/>
                  </w:tblGrid>
                  <w:tr>
                    <w:trPr>
                      <w:trHeight w:val="407" w:hRule="atLeast"/>
                    </w:trPr>
                    <w:tc>
                      <w:tcPr>
                        <w:tcW w:w="1299" w:type="dxa"/>
                        <w:tcBorders>
                          <w:bottom w:val="nil"/>
                          <w:right w:val="nil"/>
                        </w:tcBorders>
                        <w:shd w:val="clear" w:color="auto" w:fill="1F4E79"/>
                      </w:tcPr>
                      <w:p>
                        <w:pPr>
                          <w:pStyle w:val="TableParagraph"/>
                          <w:spacing w:before="123"/>
                          <w:ind w:left="263"/>
                          <w:rPr>
                            <w:b/>
                            <w:sz w:val="20"/>
                          </w:rPr>
                        </w:pPr>
                        <w:r>
                          <w:rPr>
                            <w:b/>
                            <w:color w:val="FFFFFF"/>
                            <w:sz w:val="20"/>
                          </w:rPr>
                          <w:t>Totales:</w:t>
                        </w:r>
                      </w:p>
                    </w:tc>
                    <w:tc>
                      <w:tcPr>
                        <w:tcW w:w="2823" w:type="dxa"/>
                        <w:tcBorders>
                          <w:left w:val="nil"/>
                          <w:bottom w:val="nil"/>
                        </w:tcBorders>
                        <w:shd w:val="clear" w:color="auto" w:fill="1F4E79"/>
                      </w:tcPr>
                      <w:p>
                        <w:pPr>
                          <w:pStyle w:val="TableParagraph"/>
                          <w:spacing w:before="123"/>
                          <w:ind w:left="478"/>
                          <w:rPr>
                            <w:b/>
                            <w:sz w:val="20"/>
                          </w:rPr>
                        </w:pPr>
                        <w:r>
                          <w:rPr>
                            <w:b/>
                            <w:color w:val="FFFFFF"/>
                            <w:sz w:val="20"/>
                          </w:rPr>
                          <w:t>Total para Personal</w:t>
                        </w:r>
                      </w:p>
                    </w:tc>
                    <w:tc>
                      <w:tcPr>
                        <w:tcW w:w="2819" w:type="dxa"/>
                        <w:tcBorders>
                          <w:bottom w:val="nil"/>
                        </w:tcBorders>
                        <w:shd w:val="clear" w:color="auto" w:fill="1F4E79"/>
                      </w:tcPr>
                      <w:p>
                        <w:pPr>
                          <w:pStyle w:val="TableParagraph"/>
                          <w:spacing w:before="123"/>
                          <w:ind w:left="315"/>
                          <w:rPr>
                            <w:b/>
                            <w:sz w:val="20"/>
                          </w:rPr>
                        </w:pPr>
                        <w:r>
                          <w:rPr>
                            <w:b/>
                            <w:color w:val="FFFFFF"/>
                            <w:sz w:val="20"/>
                          </w:rPr>
                          <w:t>Total para No Personal</w:t>
                        </w:r>
                      </w:p>
                    </w:tc>
                  </w:tr>
                  <w:tr>
                    <w:trPr>
                      <w:trHeight w:val="407" w:hRule="atLeast"/>
                    </w:trPr>
                    <w:tc>
                      <w:tcPr>
                        <w:tcW w:w="1299" w:type="dxa"/>
                        <w:tcBorders>
                          <w:top w:val="nil"/>
                          <w:right w:val="nil"/>
                        </w:tcBorders>
                        <w:shd w:val="clear" w:color="auto" w:fill="BDD7EE"/>
                      </w:tcPr>
                      <w:p>
                        <w:pPr>
                          <w:pStyle w:val="TableParagraph"/>
                          <w:spacing w:before="58"/>
                          <w:ind w:left="53"/>
                          <w:rPr>
                            <w:sz w:val="20"/>
                          </w:rPr>
                        </w:pPr>
                        <w:r>
                          <w:rPr>
                            <w:sz w:val="20"/>
                          </w:rPr>
                          <w:t>Totales:</w:t>
                        </w:r>
                      </w:p>
                    </w:tc>
                    <w:tc>
                      <w:tcPr>
                        <w:tcW w:w="2823" w:type="dxa"/>
                        <w:tcBorders>
                          <w:top w:val="nil"/>
                          <w:left w:val="nil"/>
                        </w:tcBorders>
                        <w:shd w:val="clear" w:color="auto" w:fill="BDD7EE"/>
                      </w:tcPr>
                      <w:p>
                        <w:pPr>
                          <w:pStyle w:val="TableParagraph"/>
                          <w:rPr>
                            <w:rFonts w:ascii="Times New Roman"/>
                            <w:sz w:val="20"/>
                          </w:rPr>
                        </w:pPr>
                      </w:p>
                    </w:tc>
                    <w:tc>
                      <w:tcPr>
                        <w:tcW w:w="2819" w:type="dxa"/>
                        <w:tcBorders>
                          <w:top w:val="nil"/>
                        </w:tcBorders>
                        <w:shd w:val="clear" w:color="auto" w:fill="BDD7EE"/>
                      </w:tcPr>
                      <w:p>
                        <w:pPr>
                          <w:pStyle w:val="TableParagraph"/>
                          <w:rPr>
                            <w:rFonts w:ascii="Times New Roman"/>
                            <w:sz w:val="20"/>
                          </w:rPr>
                        </w:pPr>
                      </w:p>
                    </w:tc>
                  </w:tr>
                </w:tbl>
                <w:p>
                  <w:pPr>
                    <w:pStyle w:val="BodyText"/>
                  </w:pPr>
                </w:p>
              </w:txbxContent>
            </v:textbox>
            <w10:wrap type="none"/>
          </v:shape>
        </w:pict>
      </w:r>
      <w:bookmarkStart w:name="Tabla con Total de Gastos" w:id="39"/>
      <w:bookmarkEnd w:id="39"/>
      <w:r>
        <w:rPr/>
      </w:r>
      <w:r>
        <w:rPr>
          <w:b/>
          <w:sz w:val="24"/>
        </w:rPr>
        <w:t>Tabla con Total de Gastos</w:t>
      </w:r>
    </w:p>
    <w:p>
      <w:pPr>
        <w:pStyle w:val="BodyText"/>
        <w:spacing w:before="9" w:after="1"/>
        <w:rPr>
          <w:b/>
        </w:rPr>
      </w:pPr>
    </w:p>
    <w:tbl>
      <w:tblPr>
        <w:tblW w:w="0" w:type="auto"/>
        <w:jc w:val="left"/>
        <w:tblInd w:w="25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top w:w="0" w:type="dxa"/>
          <w:left w:w="0" w:type="dxa"/>
          <w:bottom w:w="0" w:type="dxa"/>
          <w:right w:w="0" w:type="dxa"/>
        </w:tblCellMar>
        <w:tblLook w:val="01E0"/>
      </w:tblPr>
      <w:tblGrid>
        <w:gridCol w:w="620"/>
        <w:gridCol w:w="1080"/>
        <w:gridCol w:w="1171"/>
        <w:gridCol w:w="2444"/>
        <w:gridCol w:w="2448"/>
        <w:gridCol w:w="327"/>
        <w:gridCol w:w="1350"/>
        <w:gridCol w:w="770"/>
        <w:gridCol w:w="670"/>
        <w:gridCol w:w="1530"/>
        <w:gridCol w:w="247"/>
        <w:gridCol w:w="1103"/>
        <w:gridCol w:w="1340"/>
      </w:tblGrid>
      <w:tr>
        <w:trPr>
          <w:trHeight w:val="417" w:hRule="atLeast"/>
        </w:trPr>
        <w:tc>
          <w:tcPr>
            <w:tcW w:w="2871" w:type="dxa"/>
            <w:gridSpan w:val="3"/>
            <w:vMerge w:val="restart"/>
            <w:tcBorders>
              <w:top w:val="nil"/>
              <w:left w:val="nil"/>
              <w:bottom w:val="nil"/>
              <w:right w:val="nil"/>
            </w:tcBorders>
          </w:tcPr>
          <w:p>
            <w:pPr>
              <w:pStyle w:val="TableParagraph"/>
              <w:rPr>
                <w:rFonts w:ascii="Times New Roman"/>
                <w:sz w:val="20"/>
              </w:rPr>
            </w:pPr>
          </w:p>
        </w:tc>
        <w:tc>
          <w:tcPr>
            <w:tcW w:w="2444" w:type="dxa"/>
            <w:tcBorders>
              <w:top w:val="nil"/>
              <w:left w:val="nil"/>
            </w:tcBorders>
            <w:shd w:val="clear" w:color="auto" w:fill="1F4E79"/>
          </w:tcPr>
          <w:p>
            <w:pPr>
              <w:pStyle w:val="TableParagraph"/>
              <w:spacing w:before="123"/>
              <w:ind w:left="575"/>
              <w:rPr>
                <w:b/>
                <w:sz w:val="20"/>
              </w:rPr>
            </w:pPr>
            <w:r>
              <w:rPr>
                <w:b/>
                <w:color w:val="FFFFFF"/>
                <w:sz w:val="20"/>
              </w:rPr>
              <w:t>Fondos LCFF</w:t>
            </w:r>
          </w:p>
        </w:tc>
        <w:tc>
          <w:tcPr>
            <w:tcW w:w="2448" w:type="dxa"/>
            <w:tcBorders>
              <w:top w:val="nil"/>
            </w:tcBorders>
            <w:shd w:val="clear" w:color="auto" w:fill="1F4E79"/>
          </w:tcPr>
          <w:p>
            <w:pPr>
              <w:pStyle w:val="TableParagraph"/>
              <w:spacing w:before="123"/>
              <w:ind w:left="96"/>
              <w:rPr>
                <w:b/>
                <w:sz w:val="20"/>
              </w:rPr>
            </w:pPr>
            <w:r>
              <w:rPr>
                <w:b/>
                <w:color w:val="FFFFFF"/>
                <w:sz w:val="20"/>
              </w:rPr>
              <w:t>Otros Fondos Estatales</w:t>
            </w:r>
          </w:p>
        </w:tc>
        <w:tc>
          <w:tcPr>
            <w:tcW w:w="2447" w:type="dxa"/>
            <w:gridSpan w:val="3"/>
            <w:tcBorders>
              <w:top w:val="nil"/>
            </w:tcBorders>
            <w:shd w:val="clear" w:color="auto" w:fill="1F4E79"/>
          </w:tcPr>
          <w:p>
            <w:pPr>
              <w:pStyle w:val="TableParagraph"/>
              <w:spacing w:before="123"/>
              <w:ind w:left="457"/>
              <w:rPr>
                <w:b/>
                <w:sz w:val="20"/>
              </w:rPr>
            </w:pPr>
            <w:r>
              <w:rPr>
                <w:b/>
                <w:color w:val="FFFFFF"/>
                <w:sz w:val="20"/>
              </w:rPr>
              <w:t>Fondos Locales</w:t>
            </w:r>
          </w:p>
        </w:tc>
        <w:tc>
          <w:tcPr>
            <w:tcW w:w="2447" w:type="dxa"/>
            <w:gridSpan w:val="3"/>
            <w:tcBorders>
              <w:top w:val="nil"/>
            </w:tcBorders>
            <w:shd w:val="clear" w:color="auto" w:fill="1F4E79"/>
          </w:tcPr>
          <w:p>
            <w:pPr>
              <w:pStyle w:val="TableParagraph"/>
              <w:spacing w:before="123"/>
              <w:ind w:left="362"/>
              <w:rPr>
                <w:b/>
                <w:sz w:val="20"/>
              </w:rPr>
            </w:pPr>
            <w:r>
              <w:rPr>
                <w:b/>
                <w:color w:val="FFFFFF"/>
                <w:sz w:val="20"/>
              </w:rPr>
              <w:t>Fondos Federales</w:t>
            </w:r>
          </w:p>
        </w:tc>
        <w:tc>
          <w:tcPr>
            <w:tcW w:w="2443" w:type="dxa"/>
            <w:gridSpan w:val="2"/>
            <w:tcBorders>
              <w:top w:val="nil"/>
              <w:right w:val="nil"/>
            </w:tcBorders>
            <w:shd w:val="clear" w:color="auto" w:fill="1F4E79"/>
          </w:tcPr>
          <w:p>
            <w:pPr>
              <w:pStyle w:val="TableParagraph"/>
              <w:spacing w:before="123"/>
              <w:ind w:left="446"/>
              <w:rPr>
                <w:b/>
                <w:sz w:val="20"/>
              </w:rPr>
            </w:pPr>
            <w:r>
              <w:rPr>
                <w:b/>
                <w:color w:val="FFFFFF"/>
                <w:sz w:val="20"/>
              </w:rPr>
              <w:t>Total de Fondos</w:t>
            </w:r>
          </w:p>
        </w:tc>
      </w:tr>
      <w:tr>
        <w:trPr>
          <w:trHeight w:val="417" w:hRule="atLeast"/>
        </w:trPr>
        <w:tc>
          <w:tcPr>
            <w:tcW w:w="2871" w:type="dxa"/>
            <w:gridSpan w:val="3"/>
            <w:vMerge/>
            <w:tcBorders>
              <w:top w:val="nil"/>
              <w:left w:val="nil"/>
              <w:bottom w:val="nil"/>
              <w:right w:val="nil"/>
            </w:tcBorders>
          </w:tcPr>
          <w:p>
            <w:pPr>
              <w:rPr>
                <w:sz w:val="2"/>
                <w:szCs w:val="2"/>
              </w:rPr>
            </w:pPr>
          </w:p>
        </w:tc>
        <w:tc>
          <w:tcPr>
            <w:tcW w:w="2444" w:type="dxa"/>
            <w:tcBorders>
              <w:left w:val="nil"/>
              <w:bottom w:val="nil"/>
            </w:tcBorders>
            <w:shd w:val="clear" w:color="auto" w:fill="BDD7EE"/>
          </w:tcPr>
          <w:p>
            <w:pPr>
              <w:pStyle w:val="TableParagraph"/>
              <w:rPr>
                <w:rFonts w:ascii="Times New Roman"/>
                <w:sz w:val="20"/>
              </w:rPr>
            </w:pPr>
          </w:p>
        </w:tc>
        <w:tc>
          <w:tcPr>
            <w:tcW w:w="2448" w:type="dxa"/>
            <w:tcBorders>
              <w:bottom w:val="nil"/>
            </w:tcBorders>
            <w:shd w:val="clear" w:color="auto" w:fill="BDD7EE"/>
          </w:tcPr>
          <w:p>
            <w:pPr>
              <w:pStyle w:val="TableParagraph"/>
              <w:rPr>
                <w:rFonts w:ascii="Times New Roman"/>
                <w:sz w:val="20"/>
              </w:rPr>
            </w:pPr>
          </w:p>
        </w:tc>
        <w:tc>
          <w:tcPr>
            <w:tcW w:w="2447" w:type="dxa"/>
            <w:gridSpan w:val="3"/>
            <w:tcBorders>
              <w:bottom w:val="nil"/>
            </w:tcBorders>
            <w:shd w:val="clear" w:color="auto" w:fill="BDD7EE"/>
          </w:tcPr>
          <w:p>
            <w:pPr>
              <w:pStyle w:val="TableParagraph"/>
              <w:rPr>
                <w:rFonts w:ascii="Times New Roman"/>
                <w:sz w:val="20"/>
              </w:rPr>
            </w:pPr>
          </w:p>
        </w:tc>
        <w:tc>
          <w:tcPr>
            <w:tcW w:w="2447" w:type="dxa"/>
            <w:gridSpan w:val="3"/>
            <w:tcBorders>
              <w:bottom w:val="nil"/>
            </w:tcBorders>
            <w:shd w:val="clear" w:color="auto" w:fill="BDD7EE"/>
          </w:tcPr>
          <w:p>
            <w:pPr>
              <w:pStyle w:val="TableParagraph"/>
              <w:rPr>
                <w:rFonts w:ascii="Times New Roman"/>
                <w:sz w:val="20"/>
              </w:rPr>
            </w:pPr>
          </w:p>
        </w:tc>
        <w:tc>
          <w:tcPr>
            <w:tcW w:w="2443" w:type="dxa"/>
            <w:gridSpan w:val="2"/>
            <w:tcBorders>
              <w:bottom w:val="nil"/>
              <w:right w:val="nil"/>
            </w:tcBorders>
            <w:shd w:val="clear" w:color="auto" w:fill="BDD7EE"/>
          </w:tcPr>
          <w:p>
            <w:pPr>
              <w:pStyle w:val="TableParagraph"/>
              <w:rPr>
                <w:rFonts w:ascii="Times New Roman"/>
                <w:sz w:val="20"/>
              </w:rPr>
            </w:pPr>
          </w:p>
        </w:tc>
      </w:tr>
      <w:tr>
        <w:trPr>
          <w:trHeight w:val="1345" w:hRule="atLeast"/>
        </w:trPr>
        <w:tc>
          <w:tcPr>
            <w:tcW w:w="5315" w:type="dxa"/>
            <w:gridSpan w:val="4"/>
            <w:tcBorders>
              <w:top w:val="nil"/>
              <w:left w:val="nil"/>
              <w:bottom w:val="nil"/>
            </w:tcBorders>
          </w:tcPr>
          <w:p>
            <w:pPr>
              <w:pStyle w:val="TableParagraph"/>
              <w:rPr>
                <w:rFonts w:ascii="Times New Roman"/>
                <w:sz w:val="20"/>
              </w:rPr>
            </w:pPr>
          </w:p>
        </w:tc>
        <w:tc>
          <w:tcPr>
            <w:tcW w:w="9785" w:type="dxa"/>
            <w:gridSpan w:val="9"/>
            <w:tcBorders>
              <w:top w:val="nil"/>
              <w:bottom w:val="nil"/>
              <w:right w:val="nil"/>
            </w:tcBorders>
          </w:tcPr>
          <w:p>
            <w:pPr>
              <w:pStyle w:val="TableParagraph"/>
              <w:rPr>
                <w:rFonts w:ascii="Times New Roman"/>
                <w:sz w:val="20"/>
              </w:rPr>
            </w:pPr>
          </w:p>
        </w:tc>
      </w:tr>
      <w:tr>
        <w:trPr>
          <w:trHeight w:val="517" w:hRule="atLeast"/>
        </w:trPr>
        <w:tc>
          <w:tcPr>
            <w:tcW w:w="620" w:type="dxa"/>
            <w:tcBorders>
              <w:top w:val="nil"/>
              <w:left w:val="nil"/>
            </w:tcBorders>
            <w:shd w:val="clear" w:color="auto" w:fill="1F4E79"/>
          </w:tcPr>
          <w:p>
            <w:pPr>
              <w:pStyle w:val="TableParagraph"/>
              <w:spacing w:before="173"/>
              <w:ind w:left="59" w:right="59"/>
              <w:jc w:val="center"/>
              <w:rPr>
                <w:b/>
                <w:sz w:val="20"/>
              </w:rPr>
            </w:pPr>
            <w:r>
              <w:rPr>
                <w:b/>
                <w:color w:val="FFFFFF"/>
                <w:sz w:val="20"/>
              </w:rPr>
              <w:t>Meta</w:t>
            </w:r>
          </w:p>
        </w:tc>
        <w:tc>
          <w:tcPr>
            <w:tcW w:w="1080" w:type="dxa"/>
            <w:tcBorders>
              <w:top w:val="nil"/>
            </w:tcBorders>
            <w:shd w:val="clear" w:color="auto" w:fill="1F4E79"/>
          </w:tcPr>
          <w:p>
            <w:pPr>
              <w:pStyle w:val="TableParagraph"/>
              <w:spacing w:before="173"/>
              <w:ind w:left="98" w:right="98"/>
              <w:jc w:val="center"/>
              <w:rPr>
                <w:b/>
                <w:sz w:val="20"/>
              </w:rPr>
            </w:pPr>
            <w:r>
              <w:rPr>
                <w:b/>
                <w:color w:val="FFFFFF"/>
                <w:sz w:val="20"/>
              </w:rPr>
              <w:t>Acción #</w:t>
            </w:r>
          </w:p>
        </w:tc>
        <w:tc>
          <w:tcPr>
            <w:tcW w:w="3615" w:type="dxa"/>
            <w:gridSpan w:val="2"/>
            <w:tcBorders>
              <w:top w:val="nil"/>
            </w:tcBorders>
            <w:shd w:val="clear" w:color="auto" w:fill="1F4E79"/>
          </w:tcPr>
          <w:p>
            <w:pPr>
              <w:pStyle w:val="TableParagraph"/>
              <w:spacing w:before="173"/>
              <w:ind w:left="656"/>
              <w:rPr>
                <w:b/>
                <w:sz w:val="20"/>
              </w:rPr>
            </w:pPr>
            <w:r>
              <w:rPr>
                <w:b/>
                <w:color w:val="FFFFFF"/>
                <w:sz w:val="20"/>
              </w:rPr>
              <w:t>Grupo(s) Estudiantil(es)</w:t>
            </w:r>
          </w:p>
        </w:tc>
        <w:tc>
          <w:tcPr>
            <w:tcW w:w="2775" w:type="dxa"/>
            <w:gridSpan w:val="2"/>
            <w:tcBorders>
              <w:top w:val="nil"/>
            </w:tcBorders>
            <w:shd w:val="clear" w:color="auto" w:fill="1F4E79"/>
          </w:tcPr>
          <w:p>
            <w:pPr>
              <w:pStyle w:val="TableParagraph"/>
              <w:spacing w:before="173"/>
              <w:ind w:left="1083" w:right="1096"/>
              <w:jc w:val="center"/>
              <w:rPr>
                <w:b/>
                <w:sz w:val="20"/>
              </w:rPr>
            </w:pPr>
            <w:r>
              <w:rPr>
                <w:b/>
                <w:color w:val="FFFFFF"/>
                <w:sz w:val="20"/>
              </w:rPr>
              <w:t>Título</w:t>
            </w:r>
          </w:p>
        </w:tc>
        <w:tc>
          <w:tcPr>
            <w:tcW w:w="1350" w:type="dxa"/>
            <w:tcBorders>
              <w:top w:val="nil"/>
            </w:tcBorders>
            <w:shd w:val="clear" w:color="auto" w:fill="1F4E79"/>
          </w:tcPr>
          <w:p>
            <w:pPr>
              <w:pStyle w:val="TableParagraph"/>
              <w:spacing w:line="230" w:lineRule="atLeast" w:before="58"/>
              <w:ind w:left="414" w:right="289" w:hanging="106"/>
              <w:rPr>
                <w:b/>
                <w:sz w:val="20"/>
              </w:rPr>
            </w:pPr>
            <w:r>
              <w:rPr>
                <w:b/>
                <w:color w:val="FFFFFF"/>
                <w:sz w:val="20"/>
              </w:rPr>
              <w:t>Fondos LCFF</w:t>
            </w:r>
          </w:p>
        </w:tc>
        <w:tc>
          <w:tcPr>
            <w:tcW w:w="1440" w:type="dxa"/>
            <w:gridSpan w:val="2"/>
            <w:tcBorders>
              <w:top w:val="nil"/>
            </w:tcBorders>
            <w:shd w:val="clear" w:color="auto" w:fill="1F4E79"/>
          </w:tcPr>
          <w:p>
            <w:pPr>
              <w:pStyle w:val="TableParagraph"/>
              <w:spacing w:line="230" w:lineRule="atLeast" w:before="58"/>
              <w:ind w:left="275" w:right="40" w:hanging="217"/>
              <w:rPr>
                <w:b/>
                <w:sz w:val="20"/>
              </w:rPr>
            </w:pPr>
            <w:r>
              <w:rPr>
                <w:b/>
                <w:color w:val="FFFFFF"/>
                <w:sz w:val="20"/>
              </w:rPr>
              <w:t>Otros Fondos Estatales</w:t>
            </w:r>
          </w:p>
        </w:tc>
        <w:tc>
          <w:tcPr>
            <w:tcW w:w="1530" w:type="dxa"/>
            <w:tcBorders>
              <w:top w:val="nil"/>
            </w:tcBorders>
            <w:shd w:val="clear" w:color="auto" w:fill="1F4E79"/>
          </w:tcPr>
          <w:p>
            <w:pPr>
              <w:pStyle w:val="TableParagraph"/>
              <w:spacing w:line="230" w:lineRule="atLeast" w:before="58"/>
              <w:ind w:left="387" w:right="368" w:firstLine="11"/>
              <w:rPr>
                <w:b/>
                <w:sz w:val="20"/>
              </w:rPr>
            </w:pPr>
            <w:r>
              <w:rPr>
                <w:b/>
                <w:color w:val="FFFFFF"/>
                <w:sz w:val="20"/>
              </w:rPr>
              <w:t>Fondos Locales</w:t>
            </w:r>
          </w:p>
        </w:tc>
        <w:tc>
          <w:tcPr>
            <w:tcW w:w="1350" w:type="dxa"/>
            <w:gridSpan w:val="2"/>
            <w:tcBorders>
              <w:top w:val="nil"/>
            </w:tcBorders>
            <w:shd w:val="clear" w:color="auto" w:fill="1F4E79"/>
          </w:tcPr>
          <w:p>
            <w:pPr>
              <w:pStyle w:val="TableParagraph"/>
              <w:spacing w:line="230" w:lineRule="atLeast" w:before="58"/>
              <w:ind w:left="203" w:right="183" w:firstLine="105"/>
              <w:rPr>
                <w:b/>
                <w:sz w:val="20"/>
              </w:rPr>
            </w:pPr>
            <w:r>
              <w:rPr>
                <w:b/>
                <w:color w:val="FFFFFF"/>
                <w:sz w:val="20"/>
              </w:rPr>
              <w:t>Fondos Federales</w:t>
            </w:r>
          </w:p>
        </w:tc>
        <w:tc>
          <w:tcPr>
            <w:tcW w:w="1340" w:type="dxa"/>
            <w:tcBorders>
              <w:top w:val="nil"/>
              <w:right w:val="nil"/>
            </w:tcBorders>
            <w:shd w:val="clear" w:color="auto" w:fill="1F4E79"/>
          </w:tcPr>
          <w:p>
            <w:pPr>
              <w:pStyle w:val="TableParagraph"/>
              <w:spacing w:line="230" w:lineRule="atLeast" w:before="58"/>
              <w:ind w:left="306" w:right="265" w:hanging="23"/>
              <w:rPr>
                <w:b/>
                <w:sz w:val="20"/>
              </w:rPr>
            </w:pPr>
            <w:r>
              <w:rPr>
                <w:b/>
                <w:color w:val="FFFFFF"/>
                <w:sz w:val="20"/>
              </w:rPr>
              <w:t>Total de Fondos</w:t>
            </w:r>
          </w:p>
        </w:tc>
      </w:tr>
      <w:tr>
        <w:trPr>
          <w:trHeight w:val="517" w:hRule="atLeast"/>
        </w:trPr>
        <w:tc>
          <w:tcPr>
            <w:tcW w:w="620" w:type="dxa"/>
            <w:tcBorders>
              <w:left w:val="nil"/>
            </w:tcBorders>
            <w:shd w:val="clear" w:color="auto" w:fill="BDD7EE"/>
          </w:tcPr>
          <w:p>
            <w:pPr>
              <w:pStyle w:val="TableParagraph"/>
              <w:spacing w:before="58"/>
              <w:jc w:val="center"/>
              <w:rPr>
                <w:b/>
                <w:sz w:val="20"/>
              </w:rPr>
            </w:pPr>
            <w:r>
              <w:rPr>
                <w:b/>
                <w:sz w:val="20"/>
              </w:rPr>
              <w:t>1</w:t>
            </w:r>
          </w:p>
        </w:tc>
        <w:tc>
          <w:tcPr>
            <w:tcW w:w="1080" w:type="dxa"/>
            <w:shd w:val="clear" w:color="auto" w:fill="BDD7EE"/>
          </w:tcPr>
          <w:p>
            <w:pPr>
              <w:pStyle w:val="TableParagraph"/>
              <w:spacing w:before="58"/>
              <w:jc w:val="center"/>
              <w:rPr>
                <w:b/>
                <w:sz w:val="20"/>
              </w:rPr>
            </w:pPr>
            <w:r>
              <w:rPr>
                <w:b/>
                <w:sz w:val="20"/>
              </w:rPr>
              <w:t>1</w:t>
            </w:r>
          </w:p>
        </w:tc>
        <w:tc>
          <w:tcPr>
            <w:tcW w:w="3615" w:type="dxa"/>
            <w:gridSpan w:val="2"/>
            <w:shd w:val="clear" w:color="auto" w:fill="BDD7EE"/>
          </w:tcPr>
          <w:p>
            <w:pPr>
              <w:pStyle w:val="TableParagraph"/>
              <w:rPr>
                <w:rFonts w:ascii="Times New Roman"/>
                <w:sz w:val="20"/>
              </w:rPr>
            </w:pPr>
          </w:p>
        </w:tc>
        <w:tc>
          <w:tcPr>
            <w:tcW w:w="2775" w:type="dxa"/>
            <w:gridSpan w:val="2"/>
            <w:shd w:val="clear" w:color="auto" w:fill="BDD7EE"/>
          </w:tcPr>
          <w:p>
            <w:pPr>
              <w:pStyle w:val="TableParagraph"/>
              <w:spacing w:line="230" w:lineRule="atLeast" w:before="58"/>
              <w:ind w:left="38" w:right="216"/>
              <w:rPr>
                <w:sz w:val="20"/>
              </w:rPr>
            </w:pPr>
            <w:r>
              <w:rPr>
                <w:sz w:val="20"/>
              </w:rPr>
              <w:t>1 Director de currículo e instrucción de medio tiempo</w:t>
            </w:r>
          </w:p>
        </w:tc>
        <w:tc>
          <w:tcPr>
            <w:tcW w:w="1350" w:type="dxa"/>
            <w:shd w:val="clear" w:color="auto" w:fill="BDD7EE"/>
          </w:tcPr>
          <w:p>
            <w:pPr>
              <w:pStyle w:val="TableParagraph"/>
              <w:rPr>
                <w:rFonts w:ascii="Times New Roman"/>
                <w:sz w:val="20"/>
              </w:rPr>
            </w:pPr>
          </w:p>
        </w:tc>
        <w:tc>
          <w:tcPr>
            <w:tcW w:w="1440" w:type="dxa"/>
            <w:gridSpan w:val="2"/>
            <w:shd w:val="clear" w:color="auto" w:fill="BDD7EE"/>
          </w:tcPr>
          <w:p>
            <w:pPr>
              <w:pStyle w:val="TableParagraph"/>
              <w:rPr>
                <w:rFonts w:ascii="Times New Roman"/>
                <w:sz w:val="20"/>
              </w:rPr>
            </w:pPr>
          </w:p>
        </w:tc>
        <w:tc>
          <w:tcPr>
            <w:tcW w:w="1530" w:type="dxa"/>
            <w:shd w:val="clear" w:color="auto" w:fill="BDD7EE"/>
          </w:tcPr>
          <w:p>
            <w:pPr>
              <w:pStyle w:val="TableParagraph"/>
              <w:rPr>
                <w:rFonts w:ascii="Times New Roman"/>
                <w:sz w:val="20"/>
              </w:rPr>
            </w:pPr>
          </w:p>
        </w:tc>
        <w:tc>
          <w:tcPr>
            <w:tcW w:w="1350" w:type="dxa"/>
            <w:gridSpan w:val="2"/>
            <w:shd w:val="clear" w:color="auto" w:fill="BDD7EE"/>
          </w:tcPr>
          <w:p>
            <w:pPr>
              <w:pStyle w:val="TableParagraph"/>
              <w:rPr>
                <w:rFonts w:ascii="Times New Roman"/>
                <w:sz w:val="20"/>
              </w:rPr>
            </w:pPr>
          </w:p>
        </w:tc>
        <w:tc>
          <w:tcPr>
            <w:tcW w:w="1340" w:type="dxa"/>
            <w:tcBorders>
              <w:right w:val="nil"/>
            </w:tcBorders>
            <w:shd w:val="clear" w:color="auto" w:fill="BDD7EE"/>
          </w:tcPr>
          <w:p>
            <w:pPr>
              <w:pStyle w:val="TableParagraph"/>
              <w:rPr>
                <w:rFonts w:ascii="Times New Roman"/>
                <w:sz w:val="20"/>
              </w:rPr>
            </w:pPr>
          </w:p>
        </w:tc>
      </w:tr>
      <w:tr>
        <w:trPr>
          <w:trHeight w:val="417" w:hRule="atLeast"/>
        </w:trPr>
        <w:tc>
          <w:tcPr>
            <w:tcW w:w="620" w:type="dxa"/>
            <w:tcBorders>
              <w:left w:val="nil"/>
            </w:tcBorders>
            <w:shd w:val="clear" w:color="auto" w:fill="DDEBF6"/>
          </w:tcPr>
          <w:p>
            <w:pPr>
              <w:pStyle w:val="TableParagraph"/>
              <w:spacing w:before="58"/>
              <w:jc w:val="center"/>
              <w:rPr>
                <w:b/>
                <w:sz w:val="20"/>
              </w:rPr>
            </w:pPr>
            <w:r>
              <w:rPr>
                <w:b/>
                <w:sz w:val="20"/>
              </w:rPr>
              <w:t>1</w:t>
            </w:r>
          </w:p>
        </w:tc>
        <w:tc>
          <w:tcPr>
            <w:tcW w:w="1080" w:type="dxa"/>
            <w:shd w:val="clear" w:color="auto" w:fill="DDEBF6"/>
          </w:tcPr>
          <w:p>
            <w:pPr>
              <w:pStyle w:val="TableParagraph"/>
              <w:spacing w:before="58"/>
              <w:jc w:val="center"/>
              <w:rPr>
                <w:b/>
                <w:sz w:val="20"/>
              </w:rPr>
            </w:pPr>
            <w:r>
              <w:rPr>
                <w:b/>
                <w:sz w:val="20"/>
              </w:rPr>
              <w:t>2</w:t>
            </w:r>
          </w:p>
        </w:tc>
        <w:tc>
          <w:tcPr>
            <w:tcW w:w="3615" w:type="dxa"/>
            <w:gridSpan w:val="2"/>
            <w:shd w:val="clear" w:color="auto" w:fill="DDEBF6"/>
          </w:tcPr>
          <w:p>
            <w:pPr>
              <w:pStyle w:val="TableParagraph"/>
              <w:rPr>
                <w:rFonts w:ascii="Times New Roman"/>
                <w:sz w:val="20"/>
              </w:rPr>
            </w:pPr>
          </w:p>
        </w:tc>
        <w:tc>
          <w:tcPr>
            <w:tcW w:w="2775" w:type="dxa"/>
            <w:gridSpan w:val="2"/>
            <w:shd w:val="clear" w:color="auto" w:fill="DDEBF6"/>
          </w:tcPr>
          <w:p>
            <w:pPr>
              <w:pStyle w:val="TableParagraph"/>
              <w:spacing w:before="58"/>
              <w:ind w:left="38"/>
              <w:rPr>
                <w:sz w:val="20"/>
              </w:rPr>
            </w:pPr>
            <w:r>
              <w:rPr>
                <w:sz w:val="20"/>
              </w:rPr>
              <w:t>2 Instrucción de alta calidad</w:t>
            </w:r>
          </w:p>
        </w:tc>
        <w:tc>
          <w:tcPr>
            <w:tcW w:w="1350" w:type="dxa"/>
            <w:shd w:val="clear" w:color="auto" w:fill="DDEBF6"/>
          </w:tcPr>
          <w:p>
            <w:pPr>
              <w:pStyle w:val="TableParagraph"/>
              <w:rPr>
                <w:rFonts w:ascii="Times New Roman"/>
                <w:sz w:val="20"/>
              </w:rPr>
            </w:pPr>
          </w:p>
        </w:tc>
        <w:tc>
          <w:tcPr>
            <w:tcW w:w="1440" w:type="dxa"/>
            <w:gridSpan w:val="2"/>
            <w:shd w:val="clear" w:color="auto" w:fill="DDEBF6"/>
          </w:tcPr>
          <w:p>
            <w:pPr>
              <w:pStyle w:val="TableParagraph"/>
              <w:rPr>
                <w:rFonts w:ascii="Times New Roman"/>
                <w:sz w:val="20"/>
              </w:rPr>
            </w:pPr>
          </w:p>
        </w:tc>
        <w:tc>
          <w:tcPr>
            <w:tcW w:w="1530" w:type="dxa"/>
            <w:shd w:val="clear" w:color="auto" w:fill="DDEBF6"/>
          </w:tcPr>
          <w:p>
            <w:pPr>
              <w:pStyle w:val="TableParagraph"/>
              <w:rPr>
                <w:rFonts w:ascii="Times New Roman"/>
                <w:sz w:val="20"/>
              </w:rPr>
            </w:pPr>
          </w:p>
        </w:tc>
        <w:tc>
          <w:tcPr>
            <w:tcW w:w="1350" w:type="dxa"/>
            <w:gridSpan w:val="2"/>
            <w:shd w:val="clear" w:color="auto" w:fill="DDEBF6"/>
          </w:tcPr>
          <w:p>
            <w:pPr>
              <w:pStyle w:val="TableParagraph"/>
              <w:rPr>
                <w:rFonts w:ascii="Times New Roman"/>
                <w:sz w:val="20"/>
              </w:rPr>
            </w:pPr>
          </w:p>
        </w:tc>
        <w:tc>
          <w:tcPr>
            <w:tcW w:w="1340" w:type="dxa"/>
            <w:tcBorders>
              <w:right w:val="nil"/>
            </w:tcBorders>
            <w:shd w:val="clear" w:color="auto" w:fill="DDEBF6"/>
          </w:tcPr>
          <w:p>
            <w:pPr>
              <w:pStyle w:val="TableParagraph"/>
              <w:rPr>
                <w:rFonts w:ascii="Times New Roman"/>
                <w:sz w:val="20"/>
              </w:rPr>
            </w:pPr>
          </w:p>
        </w:tc>
      </w:tr>
      <w:tr>
        <w:trPr>
          <w:trHeight w:val="415" w:hRule="atLeast"/>
        </w:trPr>
        <w:tc>
          <w:tcPr>
            <w:tcW w:w="620" w:type="dxa"/>
            <w:tcBorders>
              <w:left w:val="nil"/>
              <w:bottom w:val="single" w:sz="6" w:space="0" w:color="FFFFFF"/>
            </w:tcBorders>
            <w:shd w:val="clear" w:color="auto" w:fill="BDD7EE"/>
          </w:tcPr>
          <w:p>
            <w:pPr>
              <w:pStyle w:val="TableParagraph"/>
              <w:spacing w:before="58"/>
              <w:jc w:val="center"/>
              <w:rPr>
                <w:b/>
                <w:sz w:val="20"/>
              </w:rPr>
            </w:pPr>
            <w:r>
              <w:rPr>
                <w:b/>
                <w:sz w:val="20"/>
              </w:rPr>
              <w:t>1</w:t>
            </w:r>
          </w:p>
        </w:tc>
        <w:tc>
          <w:tcPr>
            <w:tcW w:w="1080" w:type="dxa"/>
            <w:tcBorders>
              <w:bottom w:val="single" w:sz="6" w:space="0" w:color="FFFFFF"/>
            </w:tcBorders>
            <w:shd w:val="clear" w:color="auto" w:fill="BDD7EE"/>
          </w:tcPr>
          <w:p>
            <w:pPr>
              <w:pStyle w:val="TableParagraph"/>
              <w:spacing w:before="58"/>
              <w:jc w:val="center"/>
              <w:rPr>
                <w:b/>
                <w:sz w:val="20"/>
              </w:rPr>
            </w:pPr>
            <w:r>
              <w:rPr>
                <w:b/>
                <w:sz w:val="20"/>
              </w:rPr>
              <w:t>3</w:t>
            </w:r>
          </w:p>
        </w:tc>
        <w:tc>
          <w:tcPr>
            <w:tcW w:w="3615" w:type="dxa"/>
            <w:gridSpan w:val="2"/>
            <w:tcBorders>
              <w:bottom w:val="single" w:sz="6" w:space="0" w:color="FFFFFF"/>
            </w:tcBorders>
            <w:shd w:val="clear" w:color="auto" w:fill="BDD7EE"/>
          </w:tcPr>
          <w:p>
            <w:pPr>
              <w:pStyle w:val="TableParagraph"/>
              <w:rPr>
                <w:rFonts w:ascii="Times New Roman"/>
                <w:sz w:val="20"/>
              </w:rPr>
            </w:pPr>
          </w:p>
        </w:tc>
        <w:tc>
          <w:tcPr>
            <w:tcW w:w="2775" w:type="dxa"/>
            <w:gridSpan w:val="2"/>
            <w:tcBorders>
              <w:bottom w:val="single" w:sz="6" w:space="0" w:color="FFFFFF"/>
            </w:tcBorders>
            <w:shd w:val="clear" w:color="auto" w:fill="BDD7EE"/>
          </w:tcPr>
          <w:p>
            <w:pPr>
              <w:pStyle w:val="TableParagraph"/>
              <w:spacing w:before="58"/>
              <w:ind w:left="38"/>
              <w:rPr>
                <w:sz w:val="20"/>
              </w:rPr>
            </w:pPr>
            <w:r>
              <w:rPr>
                <w:sz w:val="20"/>
              </w:rPr>
              <w:t>3 Materiales de instrucción</w:t>
            </w:r>
          </w:p>
        </w:tc>
        <w:tc>
          <w:tcPr>
            <w:tcW w:w="1350" w:type="dxa"/>
            <w:tcBorders>
              <w:bottom w:val="single" w:sz="6" w:space="0" w:color="FFFFFF"/>
            </w:tcBorders>
            <w:shd w:val="clear" w:color="auto" w:fill="BDD7EE"/>
          </w:tcPr>
          <w:p>
            <w:pPr>
              <w:pStyle w:val="TableParagraph"/>
              <w:rPr>
                <w:rFonts w:ascii="Times New Roman"/>
                <w:sz w:val="20"/>
              </w:rPr>
            </w:pPr>
          </w:p>
        </w:tc>
        <w:tc>
          <w:tcPr>
            <w:tcW w:w="1440" w:type="dxa"/>
            <w:gridSpan w:val="2"/>
            <w:tcBorders>
              <w:bottom w:val="single" w:sz="6" w:space="0" w:color="FFFFFF"/>
            </w:tcBorders>
            <w:shd w:val="clear" w:color="auto" w:fill="BDD7EE"/>
          </w:tcPr>
          <w:p>
            <w:pPr>
              <w:pStyle w:val="TableParagraph"/>
              <w:rPr>
                <w:rFonts w:ascii="Times New Roman"/>
                <w:sz w:val="20"/>
              </w:rPr>
            </w:pPr>
          </w:p>
        </w:tc>
        <w:tc>
          <w:tcPr>
            <w:tcW w:w="1530" w:type="dxa"/>
            <w:tcBorders>
              <w:bottom w:val="single" w:sz="6" w:space="0" w:color="FFFFFF"/>
            </w:tcBorders>
            <w:shd w:val="clear" w:color="auto" w:fill="BDD7EE"/>
          </w:tcPr>
          <w:p>
            <w:pPr>
              <w:pStyle w:val="TableParagraph"/>
              <w:rPr>
                <w:rFonts w:ascii="Times New Roman"/>
                <w:sz w:val="20"/>
              </w:rPr>
            </w:pPr>
          </w:p>
        </w:tc>
        <w:tc>
          <w:tcPr>
            <w:tcW w:w="1350" w:type="dxa"/>
            <w:gridSpan w:val="2"/>
            <w:tcBorders>
              <w:bottom w:val="single" w:sz="6" w:space="0" w:color="FFFFFF"/>
            </w:tcBorders>
            <w:shd w:val="clear" w:color="auto" w:fill="BDD7EE"/>
          </w:tcPr>
          <w:p>
            <w:pPr>
              <w:pStyle w:val="TableParagraph"/>
              <w:rPr>
                <w:rFonts w:ascii="Times New Roman"/>
                <w:sz w:val="20"/>
              </w:rPr>
            </w:pPr>
          </w:p>
        </w:tc>
        <w:tc>
          <w:tcPr>
            <w:tcW w:w="1340" w:type="dxa"/>
            <w:tcBorders>
              <w:bottom w:val="single" w:sz="6" w:space="0" w:color="FFFFFF"/>
              <w:right w:val="nil"/>
            </w:tcBorders>
            <w:shd w:val="clear" w:color="auto" w:fill="BDD7EE"/>
          </w:tcPr>
          <w:p>
            <w:pPr>
              <w:pStyle w:val="TableParagraph"/>
              <w:rPr>
                <w:rFonts w:ascii="Times New Roman"/>
                <w:sz w:val="20"/>
              </w:rPr>
            </w:pPr>
          </w:p>
        </w:tc>
      </w:tr>
      <w:tr>
        <w:trPr>
          <w:trHeight w:val="413" w:hRule="atLeast"/>
        </w:trPr>
        <w:tc>
          <w:tcPr>
            <w:tcW w:w="620" w:type="dxa"/>
            <w:tcBorders>
              <w:top w:val="single" w:sz="6" w:space="0" w:color="FFFFFF"/>
              <w:left w:val="nil"/>
              <w:bottom w:val="single" w:sz="6" w:space="0" w:color="FFFFFF"/>
            </w:tcBorders>
            <w:shd w:val="clear" w:color="auto" w:fill="DDEBF6"/>
          </w:tcPr>
          <w:p>
            <w:pPr>
              <w:pStyle w:val="TableParagraph"/>
              <w:spacing w:before="55"/>
              <w:jc w:val="center"/>
              <w:rPr>
                <w:b/>
                <w:sz w:val="20"/>
              </w:rPr>
            </w:pPr>
            <w:r>
              <w:rPr>
                <w:b/>
                <w:sz w:val="20"/>
              </w:rPr>
              <w:t>1</w:t>
            </w:r>
          </w:p>
        </w:tc>
        <w:tc>
          <w:tcPr>
            <w:tcW w:w="1080" w:type="dxa"/>
            <w:tcBorders>
              <w:top w:val="single" w:sz="6" w:space="0" w:color="FFFFFF"/>
              <w:bottom w:val="single" w:sz="6" w:space="0" w:color="FFFFFF"/>
            </w:tcBorders>
            <w:shd w:val="clear" w:color="auto" w:fill="DDEBF6"/>
          </w:tcPr>
          <w:p>
            <w:pPr>
              <w:pStyle w:val="TableParagraph"/>
              <w:spacing w:before="55"/>
              <w:jc w:val="center"/>
              <w:rPr>
                <w:b/>
                <w:sz w:val="20"/>
              </w:rPr>
            </w:pPr>
            <w:r>
              <w:rPr>
                <w:b/>
                <w:sz w:val="20"/>
              </w:rPr>
              <w:t>4</w:t>
            </w:r>
          </w:p>
        </w:tc>
        <w:tc>
          <w:tcPr>
            <w:tcW w:w="3615" w:type="dxa"/>
            <w:gridSpan w:val="2"/>
            <w:tcBorders>
              <w:top w:val="single" w:sz="6" w:space="0" w:color="FFFFFF"/>
              <w:bottom w:val="single" w:sz="6" w:space="0" w:color="FFFFFF"/>
            </w:tcBorders>
            <w:shd w:val="clear" w:color="auto" w:fill="DDEBF6"/>
          </w:tcPr>
          <w:p>
            <w:pPr>
              <w:pStyle w:val="TableParagraph"/>
              <w:rPr>
                <w:rFonts w:ascii="Times New Roman"/>
                <w:sz w:val="20"/>
              </w:rPr>
            </w:pPr>
          </w:p>
        </w:tc>
        <w:tc>
          <w:tcPr>
            <w:tcW w:w="2775" w:type="dxa"/>
            <w:gridSpan w:val="2"/>
            <w:tcBorders>
              <w:top w:val="single" w:sz="6" w:space="0" w:color="FFFFFF"/>
              <w:bottom w:val="single" w:sz="6" w:space="0" w:color="FFFFFF"/>
            </w:tcBorders>
            <w:shd w:val="clear" w:color="auto" w:fill="DDEBF6"/>
          </w:tcPr>
          <w:p>
            <w:pPr>
              <w:pStyle w:val="TableParagraph"/>
              <w:spacing w:before="55"/>
              <w:ind w:left="38"/>
              <w:rPr>
                <w:sz w:val="20"/>
              </w:rPr>
            </w:pPr>
            <w:r>
              <w:rPr>
                <w:sz w:val="20"/>
              </w:rPr>
              <w:t>4 Aumento de maestros</w:t>
            </w:r>
          </w:p>
        </w:tc>
        <w:tc>
          <w:tcPr>
            <w:tcW w:w="1350" w:type="dxa"/>
            <w:tcBorders>
              <w:top w:val="single" w:sz="6" w:space="0" w:color="FFFFFF"/>
              <w:bottom w:val="single" w:sz="6" w:space="0" w:color="FFFFFF"/>
            </w:tcBorders>
            <w:shd w:val="clear" w:color="auto" w:fill="DDEBF6"/>
          </w:tcPr>
          <w:p>
            <w:pPr>
              <w:pStyle w:val="TableParagraph"/>
              <w:rPr>
                <w:rFonts w:ascii="Times New Roman"/>
                <w:sz w:val="20"/>
              </w:rPr>
            </w:pPr>
          </w:p>
        </w:tc>
        <w:tc>
          <w:tcPr>
            <w:tcW w:w="1440" w:type="dxa"/>
            <w:gridSpan w:val="2"/>
            <w:tcBorders>
              <w:top w:val="single" w:sz="6" w:space="0" w:color="FFFFFF"/>
              <w:bottom w:val="single" w:sz="6" w:space="0" w:color="FFFFFF"/>
            </w:tcBorders>
            <w:shd w:val="clear" w:color="auto" w:fill="DDEBF6"/>
          </w:tcPr>
          <w:p>
            <w:pPr>
              <w:pStyle w:val="TableParagraph"/>
              <w:rPr>
                <w:rFonts w:ascii="Times New Roman"/>
                <w:sz w:val="20"/>
              </w:rPr>
            </w:pPr>
          </w:p>
        </w:tc>
        <w:tc>
          <w:tcPr>
            <w:tcW w:w="1530" w:type="dxa"/>
            <w:tcBorders>
              <w:top w:val="single" w:sz="6" w:space="0" w:color="FFFFFF"/>
              <w:bottom w:val="single" w:sz="6" w:space="0" w:color="FFFFFF"/>
            </w:tcBorders>
            <w:shd w:val="clear" w:color="auto" w:fill="DDEBF6"/>
          </w:tcPr>
          <w:p>
            <w:pPr>
              <w:pStyle w:val="TableParagraph"/>
              <w:rPr>
                <w:rFonts w:ascii="Times New Roman"/>
                <w:sz w:val="20"/>
              </w:rPr>
            </w:pPr>
          </w:p>
        </w:tc>
        <w:tc>
          <w:tcPr>
            <w:tcW w:w="1350" w:type="dxa"/>
            <w:gridSpan w:val="2"/>
            <w:tcBorders>
              <w:top w:val="single" w:sz="6" w:space="0" w:color="FFFFFF"/>
              <w:bottom w:val="single" w:sz="6" w:space="0" w:color="FFFFFF"/>
            </w:tcBorders>
            <w:shd w:val="clear" w:color="auto" w:fill="DDEBF6"/>
          </w:tcPr>
          <w:p>
            <w:pPr>
              <w:pStyle w:val="TableParagraph"/>
              <w:rPr>
                <w:rFonts w:ascii="Times New Roman"/>
                <w:sz w:val="20"/>
              </w:rPr>
            </w:pPr>
          </w:p>
        </w:tc>
        <w:tc>
          <w:tcPr>
            <w:tcW w:w="1340" w:type="dxa"/>
            <w:tcBorders>
              <w:top w:val="single" w:sz="6" w:space="0" w:color="FFFFFF"/>
              <w:bottom w:val="single" w:sz="6" w:space="0" w:color="FFFFFF"/>
              <w:right w:val="nil"/>
            </w:tcBorders>
            <w:shd w:val="clear" w:color="auto" w:fill="DDEBF6"/>
          </w:tcPr>
          <w:p>
            <w:pPr>
              <w:pStyle w:val="TableParagraph"/>
              <w:rPr>
                <w:rFonts w:ascii="Times New Roman"/>
                <w:sz w:val="20"/>
              </w:rPr>
            </w:pPr>
          </w:p>
        </w:tc>
      </w:tr>
      <w:tr>
        <w:trPr>
          <w:trHeight w:val="415" w:hRule="atLeast"/>
        </w:trPr>
        <w:tc>
          <w:tcPr>
            <w:tcW w:w="620" w:type="dxa"/>
            <w:tcBorders>
              <w:top w:val="single" w:sz="6" w:space="0" w:color="FFFFFF"/>
              <w:left w:val="nil"/>
            </w:tcBorders>
            <w:shd w:val="clear" w:color="auto" w:fill="BDD7EE"/>
          </w:tcPr>
          <w:p>
            <w:pPr>
              <w:pStyle w:val="TableParagraph"/>
              <w:spacing w:before="55"/>
              <w:jc w:val="center"/>
              <w:rPr>
                <w:b/>
                <w:sz w:val="20"/>
              </w:rPr>
            </w:pPr>
            <w:r>
              <w:rPr>
                <w:b/>
                <w:sz w:val="20"/>
              </w:rPr>
              <w:t>1</w:t>
            </w:r>
          </w:p>
        </w:tc>
        <w:tc>
          <w:tcPr>
            <w:tcW w:w="1080" w:type="dxa"/>
            <w:tcBorders>
              <w:top w:val="single" w:sz="6" w:space="0" w:color="FFFFFF"/>
            </w:tcBorders>
            <w:shd w:val="clear" w:color="auto" w:fill="BDD7EE"/>
          </w:tcPr>
          <w:p>
            <w:pPr>
              <w:pStyle w:val="TableParagraph"/>
              <w:spacing w:before="55"/>
              <w:jc w:val="center"/>
              <w:rPr>
                <w:b/>
                <w:sz w:val="20"/>
              </w:rPr>
            </w:pPr>
            <w:r>
              <w:rPr>
                <w:b/>
                <w:sz w:val="20"/>
              </w:rPr>
              <w:t>5</w:t>
            </w:r>
          </w:p>
        </w:tc>
        <w:tc>
          <w:tcPr>
            <w:tcW w:w="3615" w:type="dxa"/>
            <w:gridSpan w:val="2"/>
            <w:tcBorders>
              <w:top w:val="single" w:sz="6" w:space="0" w:color="FFFFFF"/>
            </w:tcBorders>
            <w:shd w:val="clear" w:color="auto" w:fill="BDD7EE"/>
          </w:tcPr>
          <w:p>
            <w:pPr>
              <w:pStyle w:val="TableParagraph"/>
              <w:rPr>
                <w:rFonts w:ascii="Times New Roman"/>
                <w:sz w:val="20"/>
              </w:rPr>
            </w:pPr>
          </w:p>
        </w:tc>
        <w:tc>
          <w:tcPr>
            <w:tcW w:w="2775" w:type="dxa"/>
            <w:gridSpan w:val="2"/>
            <w:tcBorders>
              <w:top w:val="single" w:sz="6" w:space="0" w:color="FFFFFF"/>
            </w:tcBorders>
            <w:shd w:val="clear" w:color="auto" w:fill="BDD7EE"/>
          </w:tcPr>
          <w:p>
            <w:pPr>
              <w:pStyle w:val="TableParagraph"/>
              <w:spacing w:before="55"/>
              <w:ind w:left="38"/>
              <w:rPr>
                <w:sz w:val="20"/>
              </w:rPr>
            </w:pPr>
            <w:r>
              <w:rPr>
                <w:sz w:val="20"/>
              </w:rPr>
              <w:t>5 Supervisación del progreso</w:t>
            </w:r>
          </w:p>
        </w:tc>
        <w:tc>
          <w:tcPr>
            <w:tcW w:w="1350" w:type="dxa"/>
            <w:tcBorders>
              <w:top w:val="single" w:sz="6" w:space="0" w:color="FFFFFF"/>
            </w:tcBorders>
            <w:shd w:val="clear" w:color="auto" w:fill="BDD7EE"/>
          </w:tcPr>
          <w:p>
            <w:pPr>
              <w:pStyle w:val="TableParagraph"/>
              <w:rPr>
                <w:rFonts w:ascii="Times New Roman"/>
                <w:sz w:val="20"/>
              </w:rPr>
            </w:pPr>
          </w:p>
        </w:tc>
        <w:tc>
          <w:tcPr>
            <w:tcW w:w="1440" w:type="dxa"/>
            <w:gridSpan w:val="2"/>
            <w:tcBorders>
              <w:top w:val="single" w:sz="6" w:space="0" w:color="FFFFFF"/>
            </w:tcBorders>
            <w:shd w:val="clear" w:color="auto" w:fill="BDD7EE"/>
          </w:tcPr>
          <w:p>
            <w:pPr>
              <w:pStyle w:val="TableParagraph"/>
              <w:rPr>
                <w:rFonts w:ascii="Times New Roman"/>
                <w:sz w:val="20"/>
              </w:rPr>
            </w:pPr>
          </w:p>
        </w:tc>
        <w:tc>
          <w:tcPr>
            <w:tcW w:w="1530" w:type="dxa"/>
            <w:tcBorders>
              <w:top w:val="single" w:sz="6" w:space="0" w:color="FFFFFF"/>
            </w:tcBorders>
            <w:shd w:val="clear" w:color="auto" w:fill="BDD7EE"/>
          </w:tcPr>
          <w:p>
            <w:pPr>
              <w:pStyle w:val="TableParagraph"/>
              <w:rPr>
                <w:rFonts w:ascii="Times New Roman"/>
                <w:sz w:val="20"/>
              </w:rPr>
            </w:pPr>
          </w:p>
        </w:tc>
        <w:tc>
          <w:tcPr>
            <w:tcW w:w="1350" w:type="dxa"/>
            <w:gridSpan w:val="2"/>
            <w:tcBorders>
              <w:top w:val="single" w:sz="6" w:space="0" w:color="FFFFFF"/>
            </w:tcBorders>
            <w:shd w:val="clear" w:color="auto" w:fill="BDD7EE"/>
          </w:tcPr>
          <w:p>
            <w:pPr>
              <w:pStyle w:val="TableParagraph"/>
              <w:rPr>
                <w:rFonts w:ascii="Times New Roman"/>
                <w:sz w:val="20"/>
              </w:rPr>
            </w:pPr>
          </w:p>
        </w:tc>
        <w:tc>
          <w:tcPr>
            <w:tcW w:w="1340" w:type="dxa"/>
            <w:tcBorders>
              <w:top w:val="single" w:sz="6" w:space="0" w:color="FFFFFF"/>
              <w:right w:val="nil"/>
            </w:tcBorders>
            <w:shd w:val="clear" w:color="auto" w:fill="BDD7EE"/>
          </w:tcPr>
          <w:p>
            <w:pPr>
              <w:pStyle w:val="TableParagraph"/>
              <w:rPr>
                <w:rFonts w:ascii="Times New Roman"/>
                <w:sz w:val="20"/>
              </w:rPr>
            </w:pPr>
          </w:p>
        </w:tc>
      </w:tr>
      <w:tr>
        <w:trPr>
          <w:trHeight w:val="415" w:hRule="atLeast"/>
        </w:trPr>
        <w:tc>
          <w:tcPr>
            <w:tcW w:w="620" w:type="dxa"/>
            <w:tcBorders>
              <w:left w:val="nil"/>
              <w:bottom w:val="single" w:sz="6" w:space="0" w:color="FFFFFF"/>
            </w:tcBorders>
            <w:shd w:val="clear" w:color="auto" w:fill="DDEBF6"/>
          </w:tcPr>
          <w:p>
            <w:pPr>
              <w:pStyle w:val="TableParagraph"/>
              <w:spacing w:before="58"/>
              <w:jc w:val="center"/>
              <w:rPr>
                <w:b/>
                <w:sz w:val="20"/>
              </w:rPr>
            </w:pPr>
            <w:r>
              <w:rPr>
                <w:b/>
                <w:sz w:val="20"/>
              </w:rPr>
              <w:t>1</w:t>
            </w:r>
          </w:p>
        </w:tc>
        <w:tc>
          <w:tcPr>
            <w:tcW w:w="1080" w:type="dxa"/>
            <w:tcBorders>
              <w:bottom w:val="single" w:sz="6" w:space="0" w:color="FFFFFF"/>
            </w:tcBorders>
            <w:shd w:val="clear" w:color="auto" w:fill="DDEBF6"/>
          </w:tcPr>
          <w:p>
            <w:pPr>
              <w:pStyle w:val="TableParagraph"/>
              <w:spacing w:before="58"/>
              <w:jc w:val="center"/>
              <w:rPr>
                <w:b/>
                <w:sz w:val="20"/>
              </w:rPr>
            </w:pPr>
            <w:r>
              <w:rPr>
                <w:b/>
                <w:sz w:val="20"/>
              </w:rPr>
              <w:t>6</w:t>
            </w:r>
          </w:p>
        </w:tc>
        <w:tc>
          <w:tcPr>
            <w:tcW w:w="3615" w:type="dxa"/>
            <w:gridSpan w:val="2"/>
            <w:tcBorders>
              <w:bottom w:val="single" w:sz="6" w:space="0" w:color="FFFFFF"/>
            </w:tcBorders>
            <w:shd w:val="clear" w:color="auto" w:fill="DDEBF6"/>
          </w:tcPr>
          <w:p>
            <w:pPr>
              <w:pStyle w:val="TableParagraph"/>
              <w:rPr>
                <w:rFonts w:ascii="Times New Roman"/>
                <w:sz w:val="20"/>
              </w:rPr>
            </w:pPr>
          </w:p>
        </w:tc>
        <w:tc>
          <w:tcPr>
            <w:tcW w:w="2775" w:type="dxa"/>
            <w:gridSpan w:val="2"/>
            <w:tcBorders>
              <w:bottom w:val="single" w:sz="6" w:space="0" w:color="FFFFFF"/>
            </w:tcBorders>
            <w:shd w:val="clear" w:color="auto" w:fill="DDEBF6"/>
          </w:tcPr>
          <w:p>
            <w:pPr>
              <w:pStyle w:val="TableParagraph"/>
              <w:spacing w:before="58"/>
              <w:ind w:left="38"/>
              <w:rPr>
                <w:sz w:val="20"/>
              </w:rPr>
            </w:pPr>
            <w:r>
              <w:rPr>
                <w:sz w:val="20"/>
              </w:rPr>
              <w:t>6 Intervenciones y apoyo</w:t>
            </w:r>
          </w:p>
        </w:tc>
        <w:tc>
          <w:tcPr>
            <w:tcW w:w="1350" w:type="dxa"/>
            <w:tcBorders>
              <w:bottom w:val="single" w:sz="6" w:space="0" w:color="FFFFFF"/>
            </w:tcBorders>
            <w:shd w:val="clear" w:color="auto" w:fill="DDEBF6"/>
          </w:tcPr>
          <w:p>
            <w:pPr>
              <w:pStyle w:val="TableParagraph"/>
              <w:rPr>
                <w:rFonts w:ascii="Times New Roman"/>
                <w:sz w:val="20"/>
              </w:rPr>
            </w:pPr>
          </w:p>
        </w:tc>
        <w:tc>
          <w:tcPr>
            <w:tcW w:w="1440" w:type="dxa"/>
            <w:gridSpan w:val="2"/>
            <w:tcBorders>
              <w:bottom w:val="single" w:sz="6" w:space="0" w:color="FFFFFF"/>
            </w:tcBorders>
            <w:shd w:val="clear" w:color="auto" w:fill="DDEBF6"/>
          </w:tcPr>
          <w:p>
            <w:pPr>
              <w:pStyle w:val="TableParagraph"/>
              <w:rPr>
                <w:rFonts w:ascii="Times New Roman"/>
                <w:sz w:val="20"/>
              </w:rPr>
            </w:pPr>
          </w:p>
        </w:tc>
        <w:tc>
          <w:tcPr>
            <w:tcW w:w="1530" w:type="dxa"/>
            <w:tcBorders>
              <w:bottom w:val="single" w:sz="6" w:space="0" w:color="FFFFFF"/>
            </w:tcBorders>
            <w:shd w:val="clear" w:color="auto" w:fill="DDEBF6"/>
          </w:tcPr>
          <w:p>
            <w:pPr>
              <w:pStyle w:val="TableParagraph"/>
              <w:rPr>
                <w:rFonts w:ascii="Times New Roman"/>
                <w:sz w:val="20"/>
              </w:rPr>
            </w:pPr>
          </w:p>
        </w:tc>
        <w:tc>
          <w:tcPr>
            <w:tcW w:w="1350" w:type="dxa"/>
            <w:gridSpan w:val="2"/>
            <w:tcBorders>
              <w:bottom w:val="single" w:sz="6" w:space="0" w:color="FFFFFF"/>
            </w:tcBorders>
            <w:shd w:val="clear" w:color="auto" w:fill="DDEBF6"/>
          </w:tcPr>
          <w:p>
            <w:pPr>
              <w:pStyle w:val="TableParagraph"/>
              <w:rPr>
                <w:rFonts w:ascii="Times New Roman"/>
                <w:sz w:val="20"/>
              </w:rPr>
            </w:pPr>
          </w:p>
        </w:tc>
        <w:tc>
          <w:tcPr>
            <w:tcW w:w="1340" w:type="dxa"/>
            <w:tcBorders>
              <w:bottom w:val="single" w:sz="6" w:space="0" w:color="FFFFFF"/>
              <w:right w:val="nil"/>
            </w:tcBorders>
            <w:shd w:val="clear" w:color="auto" w:fill="DDEBF6"/>
          </w:tcPr>
          <w:p>
            <w:pPr>
              <w:pStyle w:val="TableParagraph"/>
              <w:rPr>
                <w:rFonts w:ascii="Times New Roman"/>
                <w:sz w:val="20"/>
              </w:rPr>
            </w:pPr>
          </w:p>
        </w:tc>
      </w:tr>
      <w:tr>
        <w:trPr>
          <w:trHeight w:val="515" w:hRule="atLeast"/>
        </w:trPr>
        <w:tc>
          <w:tcPr>
            <w:tcW w:w="620" w:type="dxa"/>
            <w:tcBorders>
              <w:top w:val="single" w:sz="6" w:space="0" w:color="FFFFFF"/>
              <w:left w:val="nil"/>
            </w:tcBorders>
            <w:shd w:val="clear" w:color="auto" w:fill="BDD7EE"/>
          </w:tcPr>
          <w:p>
            <w:pPr>
              <w:pStyle w:val="TableParagraph"/>
              <w:spacing w:before="55"/>
              <w:jc w:val="center"/>
              <w:rPr>
                <w:b/>
                <w:sz w:val="20"/>
              </w:rPr>
            </w:pPr>
            <w:r>
              <w:rPr>
                <w:b/>
                <w:sz w:val="20"/>
              </w:rPr>
              <w:t>1</w:t>
            </w:r>
          </w:p>
        </w:tc>
        <w:tc>
          <w:tcPr>
            <w:tcW w:w="1080" w:type="dxa"/>
            <w:tcBorders>
              <w:top w:val="single" w:sz="6" w:space="0" w:color="FFFFFF"/>
            </w:tcBorders>
            <w:shd w:val="clear" w:color="auto" w:fill="BDD7EE"/>
          </w:tcPr>
          <w:p>
            <w:pPr>
              <w:pStyle w:val="TableParagraph"/>
              <w:spacing w:before="55"/>
              <w:jc w:val="center"/>
              <w:rPr>
                <w:b/>
                <w:sz w:val="20"/>
              </w:rPr>
            </w:pPr>
            <w:r>
              <w:rPr>
                <w:b/>
                <w:sz w:val="20"/>
              </w:rPr>
              <w:t>7</w:t>
            </w:r>
          </w:p>
        </w:tc>
        <w:tc>
          <w:tcPr>
            <w:tcW w:w="3615" w:type="dxa"/>
            <w:gridSpan w:val="2"/>
            <w:tcBorders>
              <w:top w:val="single" w:sz="6" w:space="0" w:color="FFFFFF"/>
            </w:tcBorders>
            <w:shd w:val="clear" w:color="auto" w:fill="BDD7EE"/>
          </w:tcPr>
          <w:p>
            <w:pPr>
              <w:pStyle w:val="TableParagraph"/>
              <w:rPr>
                <w:rFonts w:ascii="Times New Roman"/>
                <w:sz w:val="20"/>
              </w:rPr>
            </w:pPr>
          </w:p>
        </w:tc>
        <w:tc>
          <w:tcPr>
            <w:tcW w:w="2775" w:type="dxa"/>
            <w:gridSpan w:val="2"/>
            <w:tcBorders>
              <w:top w:val="single" w:sz="6" w:space="0" w:color="FFFFFF"/>
            </w:tcBorders>
            <w:shd w:val="clear" w:color="auto" w:fill="BDD7EE"/>
          </w:tcPr>
          <w:p>
            <w:pPr>
              <w:pStyle w:val="TableParagraph"/>
              <w:spacing w:line="230" w:lineRule="atLeast" w:before="55"/>
              <w:ind w:left="38" w:right="483"/>
              <w:rPr>
                <w:sz w:val="20"/>
              </w:rPr>
            </w:pPr>
            <w:r>
              <w:rPr>
                <w:sz w:val="20"/>
              </w:rPr>
              <w:t>7 Instrucción básica para Estudiantes del inglés</w:t>
            </w:r>
          </w:p>
        </w:tc>
        <w:tc>
          <w:tcPr>
            <w:tcW w:w="1350" w:type="dxa"/>
            <w:tcBorders>
              <w:top w:val="single" w:sz="6" w:space="0" w:color="FFFFFF"/>
            </w:tcBorders>
            <w:shd w:val="clear" w:color="auto" w:fill="BDD7EE"/>
          </w:tcPr>
          <w:p>
            <w:pPr>
              <w:pStyle w:val="TableParagraph"/>
              <w:rPr>
                <w:rFonts w:ascii="Times New Roman"/>
                <w:sz w:val="20"/>
              </w:rPr>
            </w:pPr>
          </w:p>
        </w:tc>
        <w:tc>
          <w:tcPr>
            <w:tcW w:w="1440" w:type="dxa"/>
            <w:gridSpan w:val="2"/>
            <w:tcBorders>
              <w:top w:val="single" w:sz="6" w:space="0" w:color="FFFFFF"/>
            </w:tcBorders>
            <w:shd w:val="clear" w:color="auto" w:fill="BDD7EE"/>
          </w:tcPr>
          <w:p>
            <w:pPr>
              <w:pStyle w:val="TableParagraph"/>
              <w:rPr>
                <w:rFonts w:ascii="Times New Roman"/>
                <w:sz w:val="20"/>
              </w:rPr>
            </w:pPr>
          </w:p>
        </w:tc>
        <w:tc>
          <w:tcPr>
            <w:tcW w:w="1530" w:type="dxa"/>
            <w:tcBorders>
              <w:top w:val="single" w:sz="6" w:space="0" w:color="FFFFFF"/>
            </w:tcBorders>
            <w:shd w:val="clear" w:color="auto" w:fill="BDD7EE"/>
          </w:tcPr>
          <w:p>
            <w:pPr>
              <w:pStyle w:val="TableParagraph"/>
              <w:rPr>
                <w:rFonts w:ascii="Times New Roman"/>
                <w:sz w:val="20"/>
              </w:rPr>
            </w:pPr>
          </w:p>
        </w:tc>
        <w:tc>
          <w:tcPr>
            <w:tcW w:w="1350" w:type="dxa"/>
            <w:gridSpan w:val="2"/>
            <w:tcBorders>
              <w:top w:val="single" w:sz="6" w:space="0" w:color="FFFFFF"/>
            </w:tcBorders>
            <w:shd w:val="clear" w:color="auto" w:fill="BDD7EE"/>
          </w:tcPr>
          <w:p>
            <w:pPr>
              <w:pStyle w:val="TableParagraph"/>
              <w:rPr>
                <w:rFonts w:ascii="Times New Roman"/>
                <w:sz w:val="20"/>
              </w:rPr>
            </w:pPr>
          </w:p>
        </w:tc>
        <w:tc>
          <w:tcPr>
            <w:tcW w:w="1340" w:type="dxa"/>
            <w:tcBorders>
              <w:top w:val="single" w:sz="6" w:space="0" w:color="FFFFFF"/>
              <w:right w:val="nil"/>
            </w:tcBorders>
            <w:shd w:val="clear" w:color="auto" w:fill="BDD7EE"/>
          </w:tcPr>
          <w:p>
            <w:pPr>
              <w:pStyle w:val="TableParagraph"/>
              <w:rPr>
                <w:rFonts w:ascii="Times New Roman"/>
                <w:sz w:val="20"/>
              </w:rPr>
            </w:pPr>
          </w:p>
        </w:tc>
      </w:tr>
      <w:tr>
        <w:trPr>
          <w:trHeight w:val="417" w:hRule="atLeast"/>
        </w:trPr>
        <w:tc>
          <w:tcPr>
            <w:tcW w:w="620" w:type="dxa"/>
            <w:tcBorders>
              <w:left w:val="nil"/>
            </w:tcBorders>
            <w:shd w:val="clear" w:color="auto" w:fill="BDD7EE"/>
          </w:tcPr>
          <w:p>
            <w:pPr>
              <w:pStyle w:val="TableParagraph"/>
              <w:spacing w:before="58"/>
              <w:jc w:val="center"/>
              <w:rPr>
                <w:b/>
                <w:sz w:val="20"/>
              </w:rPr>
            </w:pPr>
            <w:r>
              <w:rPr>
                <w:b/>
                <w:sz w:val="20"/>
              </w:rPr>
              <w:t>2</w:t>
            </w:r>
          </w:p>
        </w:tc>
        <w:tc>
          <w:tcPr>
            <w:tcW w:w="1080" w:type="dxa"/>
            <w:shd w:val="clear" w:color="auto" w:fill="BDD7EE"/>
          </w:tcPr>
          <w:p>
            <w:pPr>
              <w:pStyle w:val="TableParagraph"/>
              <w:spacing w:before="58"/>
              <w:jc w:val="center"/>
              <w:rPr>
                <w:b/>
                <w:sz w:val="20"/>
              </w:rPr>
            </w:pPr>
            <w:r>
              <w:rPr>
                <w:b/>
                <w:sz w:val="20"/>
              </w:rPr>
              <w:t>1</w:t>
            </w:r>
          </w:p>
        </w:tc>
        <w:tc>
          <w:tcPr>
            <w:tcW w:w="3615" w:type="dxa"/>
            <w:gridSpan w:val="2"/>
            <w:shd w:val="clear" w:color="auto" w:fill="BDD7EE"/>
          </w:tcPr>
          <w:p>
            <w:pPr>
              <w:pStyle w:val="TableParagraph"/>
              <w:rPr>
                <w:rFonts w:ascii="Times New Roman"/>
                <w:sz w:val="20"/>
              </w:rPr>
            </w:pPr>
          </w:p>
        </w:tc>
        <w:tc>
          <w:tcPr>
            <w:tcW w:w="2775" w:type="dxa"/>
            <w:gridSpan w:val="2"/>
            <w:shd w:val="clear" w:color="auto" w:fill="BDD7EE"/>
          </w:tcPr>
          <w:p>
            <w:pPr>
              <w:pStyle w:val="TableParagraph"/>
              <w:spacing w:before="58"/>
              <w:ind w:left="38"/>
              <w:rPr>
                <w:sz w:val="20"/>
              </w:rPr>
            </w:pPr>
            <w:r>
              <w:rPr>
                <w:sz w:val="20"/>
              </w:rPr>
              <w:t>1 Instalaciones</w:t>
            </w:r>
          </w:p>
        </w:tc>
        <w:tc>
          <w:tcPr>
            <w:tcW w:w="1350" w:type="dxa"/>
            <w:shd w:val="clear" w:color="auto" w:fill="BDD7EE"/>
          </w:tcPr>
          <w:p>
            <w:pPr>
              <w:pStyle w:val="TableParagraph"/>
              <w:rPr>
                <w:rFonts w:ascii="Times New Roman"/>
                <w:sz w:val="20"/>
              </w:rPr>
            </w:pPr>
          </w:p>
        </w:tc>
        <w:tc>
          <w:tcPr>
            <w:tcW w:w="1440" w:type="dxa"/>
            <w:gridSpan w:val="2"/>
            <w:shd w:val="clear" w:color="auto" w:fill="BDD7EE"/>
          </w:tcPr>
          <w:p>
            <w:pPr>
              <w:pStyle w:val="TableParagraph"/>
              <w:rPr>
                <w:rFonts w:ascii="Times New Roman"/>
                <w:sz w:val="20"/>
              </w:rPr>
            </w:pPr>
          </w:p>
        </w:tc>
        <w:tc>
          <w:tcPr>
            <w:tcW w:w="1530" w:type="dxa"/>
            <w:shd w:val="clear" w:color="auto" w:fill="BDD7EE"/>
          </w:tcPr>
          <w:p>
            <w:pPr>
              <w:pStyle w:val="TableParagraph"/>
              <w:rPr>
                <w:rFonts w:ascii="Times New Roman"/>
                <w:sz w:val="20"/>
              </w:rPr>
            </w:pPr>
          </w:p>
        </w:tc>
        <w:tc>
          <w:tcPr>
            <w:tcW w:w="1350" w:type="dxa"/>
            <w:gridSpan w:val="2"/>
            <w:shd w:val="clear" w:color="auto" w:fill="BDD7EE"/>
          </w:tcPr>
          <w:p>
            <w:pPr>
              <w:pStyle w:val="TableParagraph"/>
              <w:rPr>
                <w:rFonts w:ascii="Times New Roman"/>
                <w:sz w:val="20"/>
              </w:rPr>
            </w:pPr>
          </w:p>
        </w:tc>
        <w:tc>
          <w:tcPr>
            <w:tcW w:w="1340" w:type="dxa"/>
            <w:tcBorders>
              <w:right w:val="nil"/>
            </w:tcBorders>
            <w:shd w:val="clear" w:color="auto" w:fill="BDD7EE"/>
          </w:tcPr>
          <w:p>
            <w:pPr>
              <w:pStyle w:val="TableParagraph"/>
              <w:rPr>
                <w:rFonts w:ascii="Times New Roman"/>
                <w:sz w:val="20"/>
              </w:rPr>
            </w:pPr>
          </w:p>
        </w:tc>
      </w:tr>
      <w:tr>
        <w:trPr>
          <w:trHeight w:val="415" w:hRule="atLeast"/>
        </w:trPr>
        <w:tc>
          <w:tcPr>
            <w:tcW w:w="620" w:type="dxa"/>
            <w:tcBorders>
              <w:left w:val="nil"/>
              <w:bottom w:val="single" w:sz="6" w:space="0" w:color="FFFFFF"/>
            </w:tcBorders>
            <w:shd w:val="clear" w:color="auto" w:fill="DDEBF6"/>
          </w:tcPr>
          <w:p>
            <w:pPr>
              <w:pStyle w:val="TableParagraph"/>
              <w:spacing w:before="58"/>
              <w:jc w:val="center"/>
              <w:rPr>
                <w:b/>
                <w:sz w:val="20"/>
              </w:rPr>
            </w:pPr>
            <w:r>
              <w:rPr>
                <w:b/>
                <w:sz w:val="20"/>
              </w:rPr>
              <w:t>2</w:t>
            </w:r>
          </w:p>
        </w:tc>
        <w:tc>
          <w:tcPr>
            <w:tcW w:w="1080" w:type="dxa"/>
            <w:tcBorders>
              <w:bottom w:val="single" w:sz="6" w:space="0" w:color="FFFFFF"/>
            </w:tcBorders>
            <w:shd w:val="clear" w:color="auto" w:fill="DDEBF6"/>
          </w:tcPr>
          <w:p>
            <w:pPr>
              <w:pStyle w:val="TableParagraph"/>
              <w:spacing w:before="58"/>
              <w:jc w:val="center"/>
              <w:rPr>
                <w:b/>
                <w:sz w:val="20"/>
              </w:rPr>
            </w:pPr>
            <w:r>
              <w:rPr>
                <w:b/>
                <w:sz w:val="20"/>
              </w:rPr>
              <w:t>2</w:t>
            </w:r>
          </w:p>
        </w:tc>
        <w:tc>
          <w:tcPr>
            <w:tcW w:w="3615" w:type="dxa"/>
            <w:gridSpan w:val="2"/>
            <w:tcBorders>
              <w:bottom w:val="single" w:sz="6" w:space="0" w:color="FFFFFF"/>
            </w:tcBorders>
            <w:shd w:val="clear" w:color="auto" w:fill="DDEBF6"/>
          </w:tcPr>
          <w:p>
            <w:pPr>
              <w:pStyle w:val="TableParagraph"/>
              <w:rPr>
                <w:rFonts w:ascii="Times New Roman"/>
                <w:sz w:val="20"/>
              </w:rPr>
            </w:pPr>
          </w:p>
        </w:tc>
        <w:tc>
          <w:tcPr>
            <w:tcW w:w="2775" w:type="dxa"/>
            <w:gridSpan w:val="2"/>
            <w:tcBorders>
              <w:bottom w:val="single" w:sz="6" w:space="0" w:color="FFFFFF"/>
            </w:tcBorders>
            <w:shd w:val="clear" w:color="auto" w:fill="DDEBF6"/>
          </w:tcPr>
          <w:p>
            <w:pPr>
              <w:pStyle w:val="TableParagraph"/>
              <w:spacing w:before="58"/>
              <w:ind w:left="38"/>
              <w:rPr>
                <w:sz w:val="20"/>
              </w:rPr>
            </w:pPr>
            <w:r>
              <w:rPr>
                <w:sz w:val="20"/>
              </w:rPr>
              <w:t>2 Asistencia</w:t>
            </w:r>
          </w:p>
        </w:tc>
        <w:tc>
          <w:tcPr>
            <w:tcW w:w="1350" w:type="dxa"/>
            <w:tcBorders>
              <w:bottom w:val="single" w:sz="6" w:space="0" w:color="FFFFFF"/>
            </w:tcBorders>
            <w:shd w:val="clear" w:color="auto" w:fill="DDEBF6"/>
          </w:tcPr>
          <w:p>
            <w:pPr>
              <w:pStyle w:val="TableParagraph"/>
              <w:rPr>
                <w:rFonts w:ascii="Times New Roman"/>
                <w:sz w:val="20"/>
              </w:rPr>
            </w:pPr>
          </w:p>
        </w:tc>
        <w:tc>
          <w:tcPr>
            <w:tcW w:w="1440" w:type="dxa"/>
            <w:gridSpan w:val="2"/>
            <w:tcBorders>
              <w:bottom w:val="single" w:sz="6" w:space="0" w:color="FFFFFF"/>
            </w:tcBorders>
            <w:shd w:val="clear" w:color="auto" w:fill="DDEBF6"/>
          </w:tcPr>
          <w:p>
            <w:pPr>
              <w:pStyle w:val="TableParagraph"/>
              <w:rPr>
                <w:rFonts w:ascii="Times New Roman"/>
                <w:sz w:val="20"/>
              </w:rPr>
            </w:pPr>
          </w:p>
        </w:tc>
        <w:tc>
          <w:tcPr>
            <w:tcW w:w="1530" w:type="dxa"/>
            <w:tcBorders>
              <w:bottom w:val="single" w:sz="6" w:space="0" w:color="FFFFFF"/>
            </w:tcBorders>
            <w:shd w:val="clear" w:color="auto" w:fill="DDEBF6"/>
          </w:tcPr>
          <w:p>
            <w:pPr>
              <w:pStyle w:val="TableParagraph"/>
              <w:rPr>
                <w:rFonts w:ascii="Times New Roman"/>
                <w:sz w:val="20"/>
              </w:rPr>
            </w:pPr>
          </w:p>
        </w:tc>
        <w:tc>
          <w:tcPr>
            <w:tcW w:w="1350" w:type="dxa"/>
            <w:gridSpan w:val="2"/>
            <w:tcBorders>
              <w:bottom w:val="single" w:sz="6" w:space="0" w:color="FFFFFF"/>
            </w:tcBorders>
            <w:shd w:val="clear" w:color="auto" w:fill="DDEBF6"/>
          </w:tcPr>
          <w:p>
            <w:pPr>
              <w:pStyle w:val="TableParagraph"/>
              <w:rPr>
                <w:rFonts w:ascii="Times New Roman"/>
                <w:sz w:val="20"/>
              </w:rPr>
            </w:pPr>
          </w:p>
        </w:tc>
        <w:tc>
          <w:tcPr>
            <w:tcW w:w="1340" w:type="dxa"/>
            <w:tcBorders>
              <w:bottom w:val="single" w:sz="6" w:space="0" w:color="FFFFFF"/>
              <w:right w:val="nil"/>
            </w:tcBorders>
            <w:shd w:val="clear" w:color="auto" w:fill="DDEBF6"/>
          </w:tcPr>
          <w:p>
            <w:pPr>
              <w:pStyle w:val="TableParagraph"/>
              <w:rPr>
                <w:rFonts w:ascii="Times New Roman"/>
                <w:sz w:val="20"/>
              </w:rPr>
            </w:pPr>
          </w:p>
        </w:tc>
      </w:tr>
      <w:tr>
        <w:trPr>
          <w:trHeight w:val="515" w:hRule="atLeast"/>
        </w:trPr>
        <w:tc>
          <w:tcPr>
            <w:tcW w:w="620" w:type="dxa"/>
            <w:tcBorders>
              <w:top w:val="single" w:sz="6" w:space="0" w:color="FFFFFF"/>
              <w:left w:val="nil"/>
            </w:tcBorders>
            <w:shd w:val="clear" w:color="auto" w:fill="BDD7EE"/>
          </w:tcPr>
          <w:p>
            <w:pPr>
              <w:pStyle w:val="TableParagraph"/>
              <w:spacing w:before="55"/>
              <w:jc w:val="center"/>
              <w:rPr>
                <w:b/>
                <w:sz w:val="20"/>
              </w:rPr>
            </w:pPr>
            <w:r>
              <w:rPr>
                <w:b/>
                <w:sz w:val="20"/>
              </w:rPr>
              <w:t>2</w:t>
            </w:r>
          </w:p>
        </w:tc>
        <w:tc>
          <w:tcPr>
            <w:tcW w:w="1080" w:type="dxa"/>
            <w:tcBorders>
              <w:top w:val="single" w:sz="6" w:space="0" w:color="FFFFFF"/>
            </w:tcBorders>
            <w:shd w:val="clear" w:color="auto" w:fill="BDD7EE"/>
          </w:tcPr>
          <w:p>
            <w:pPr>
              <w:pStyle w:val="TableParagraph"/>
              <w:spacing w:before="55"/>
              <w:jc w:val="center"/>
              <w:rPr>
                <w:b/>
                <w:sz w:val="20"/>
              </w:rPr>
            </w:pPr>
            <w:r>
              <w:rPr>
                <w:b/>
                <w:sz w:val="20"/>
              </w:rPr>
              <w:t>3</w:t>
            </w:r>
          </w:p>
        </w:tc>
        <w:tc>
          <w:tcPr>
            <w:tcW w:w="3615" w:type="dxa"/>
            <w:gridSpan w:val="2"/>
            <w:tcBorders>
              <w:top w:val="single" w:sz="6" w:space="0" w:color="FFFFFF"/>
            </w:tcBorders>
            <w:shd w:val="clear" w:color="auto" w:fill="BDD7EE"/>
          </w:tcPr>
          <w:p>
            <w:pPr>
              <w:pStyle w:val="TableParagraph"/>
              <w:rPr>
                <w:rFonts w:ascii="Times New Roman"/>
                <w:sz w:val="20"/>
              </w:rPr>
            </w:pPr>
          </w:p>
        </w:tc>
        <w:tc>
          <w:tcPr>
            <w:tcW w:w="2775" w:type="dxa"/>
            <w:gridSpan w:val="2"/>
            <w:tcBorders>
              <w:top w:val="single" w:sz="6" w:space="0" w:color="FFFFFF"/>
            </w:tcBorders>
            <w:shd w:val="clear" w:color="auto" w:fill="BDD7EE"/>
          </w:tcPr>
          <w:p>
            <w:pPr>
              <w:pStyle w:val="TableParagraph"/>
              <w:spacing w:line="230" w:lineRule="atLeast" w:before="55"/>
              <w:ind w:left="38" w:right="250"/>
              <w:rPr>
                <w:sz w:val="20"/>
              </w:rPr>
            </w:pPr>
            <w:r>
              <w:rPr>
                <w:sz w:val="20"/>
              </w:rPr>
              <w:t>3 Seguridad escolar y clima escolar</w:t>
            </w:r>
          </w:p>
        </w:tc>
        <w:tc>
          <w:tcPr>
            <w:tcW w:w="1350" w:type="dxa"/>
            <w:tcBorders>
              <w:top w:val="single" w:sz="6" w:space="0" w:color="FFFFFF"/>
            </w:tcBorders>
            <w:shd w:val="clear" w:color="auto" w:fill="BDD7EE"/>
          </w:tcPr>
          <w:p>
            <w:pPr>
              <w:pStyle w:val="TableParagraph"/>
              <w:rPr>
                <w:rFonts w:ascii="Times New Roman"/>
                <w:sz w:val="20"/>
              </w:rPr>
            </w:pPr>
          </w:p>
        </w:tc>
        <w:tc>
          <w:tcPr>
            <w:tcW w:w="1440" w:type="dxa"/>
            <w:gridSpan w:val="2"/>
            <w:tcBorders>
              <w:top w:val="single" w:sz="6" w:space="0" w:color="FFFFFF"/>
            </w:tcBorders>
            <w:shd w:val="clear" w:color="auto" w:fill="BDD7EE"/>
          </w:tcPr>
          <w:p>
            <w:pPr>
              <w:pStyle w:val="TableParagraph"/>
              <w:rPr>
                <w:rFonts w:ascii="Times New Roman"/>
                <w:sz w:val="20"/>
              </w:rPr>
            </w:pPr>
          </w:p>
        </w:tc>
        <w:tc>
          <w:tcPr>
            <w:tcW w:w="1530" w:type="dxa"/>
            <w:tcBorders>
              <w:top w:val="single" w:sz="6" w:space="0" w:color="FFFFFF"/>
            </w:tcBorders>
            <w:shd w:val="clear" w:color="auto" w:fill="BDD7EE"/>
          </w:tcPr>
          <w:p>
            <w:pPr>
              <w:pStyle w:val="TableParagraph"/>
              <w:rPr>
                <w:rFonts w:ascii="Times New Roman"/>
                <w:sz w:val="20"/>
              </w:rPr>
            </w:pPr>
          </w:p>
        </w:tc>
        <w:tc>
          <w:tcPr>
            <w:tcW w:w="1350" w:type="dxa"/>
            <w:gridSpan w:val="2"/>
            <w:tcBorders>
              <w:top w:val="single" w:sz="6" w:space="0" w:color="FFFFFF"/>
            </w:tcBorders>
            <w:shd w:val="clear" w:color="auto" w:fill="BDD7EE"/>
          </w:tcPr>
          <w:p>
            <w:pPr>
              <w:pStyle w:val="TableParagraph"/>
              <w:rPr>
                <w:rFonts w:ascii="Times New Roman"/>
                <w:sz w:val="20"/>
              </w:rPr>
            </w:pPr>
          </w:p>
        </w:tc>
        <w:tc>
          <w:tcPr>
            <w:tcW w:w="1340" w:type="dxa"/>
            <w:tcBorders>
              <w:top w:val="single" w:sz="6" w:space="0" w:color="FFFFFF"/>
              <w:right w:val="nil"/>
            </w:tcBorders>
            <w:shd w:val="clear" w:color="auto" w:fill="BDD7EE"/>
          </w:tcPr>
          <w:p>
            <w:pPr>
              <w:pStyle w:val="TableParagraph"/>
              <w:rPr>
                <w:rFonts w:ascii="Times New Roman"/>
                <w:sz w:val="20"/>
              </w:rPr>
            </w:pPr>
          </w:p>
        </w:tc>
      </w:tr>
      <w:tr>
        <w:trPr>
          <w:trHeight w:val="417" w:hRule="atLeast"/>
        </w:trPr>
        <w:tc>
          <w:tcPr>
            <w:tcW w:w="620" w:type="dxa"/>
            <w:tcBorders>
              <w:left w:val="nil"/>
            </w:tcBorders>
            <w:shd w:val="clear" w:color="auto" w:fill="DDEBF6"/>
          </w:tcPr>
          <w:p>
            <w:pPr>
              <w:pStyle w:val="TableParagraph"/>
              <w:spacing w:before="58"/>
              <w:jc w:val="center"/>
              <w:rPr>
                <w:b/>
                <w:sz w:val="20"/>
              </w:rPr>
            </w:pPr>
            <w:r>
              <w:rPr>
                <w:b/>
                <w:sz w:val="20"/>
              </w:rPr>
              <w:t>2</w:t>
            </w:r>
          </w:p>
        </w:tc>
        <w:tc>
          <w:tcPr>
            <w:tcW w:w="1080" w:type="dxa"/>
            <w:shd w:val="clear" w:color="auto" w:fill="DDEBF6"/>
          </w:tcPr>
          <w:p>
            <w:pPr>
              <w:pStyle w:val="TableParagraph"/>
              <w:spacing w:before="58"/>
              <w:jc w:val="center"/>
              <w:rPr>
                <w:b/>
                <w:sz w:val="20"/>
              </w:rPr>
            </w:pPr>
            <w:r>
              <w:rPr>
                <w:b/>
                <w:sz w:val="20"/>
              </w:rPr>
              <w:t>4</w:t>
            </w:r>
          </w:p>
        </w:tc>
        <w:tc>
          <w:tcPr>
            <w:tcW w:w="3615" w:type="dxa"/>
            <w:gridSpan w:val="2"/>
            <w:shd w:val="clear" w:color="auto" w:fill="DDEBF6"/>
          </w:tcPr>
          <w:p>
            <w:pPr>
              <w:pStyle w:val="TableParagraph"/>
              <w:rPr>
                <w:rFonts w:ascii="Times New Roman"/>
                <w:sz w:val="20"/>
              </w:rPr>
            </w:pPr>
          </w:p>
        </w:tc>
        <w:tc>
          <w:tcPr>
            <w:tcW w:w="2775" w:type="dxa"/>
            <w:gridSpan w:val="2"/>
            <w:shd w:val="clear" w:color="auto" w:fill="DDEBF6"/>
          </w:tcPr>
          <w:p>
            <w:pPr>
              <w:pStyle w:val="TableParagraph"/>
              <w:spacing w:before="58"/>
              <w:ind w:left="38"/>
              <w:rPr>
                <w:sz w:val="20"/>
              </w:rPr>
            </w:pPr>
            <w:r>
              <w:rPr>
                <w:sz w:val="20"/>
              </w:rPr>
              <w:t>4 Servicios de salud</w:t>
            </w:r>
          </w:p>
        </w:tc>
        <w:tc>
          <w:tcPr>
            <w:tcW w:w="1350" w:type="dxa"/>
            <w:shd w:val="clear" w:color="auto" w:fill="DDEBF6"/>
          </w:tcPr>
          <w:p>
            <w:pPr>
              <w:pStyle w:val="TableParagraph"/>
              <w:rPr>
                <w:rFonts w:ascii="Times New Roman"/>
                <w:sz w:val="20"/>
              </w:rPr>
            </w:pPr>
          </w:p>
        </w:tc>
        <w:tc>
          <w:tcPr>
            <w:tcW w:w="1440" w:type="dxa"/>
            <w:gridSpan w:val="2"/>
            <w:shd w:val="clear" w:color="auto" w:fill="DDEBF6"/>
          </w:tcPr>
          <w:p>
            <w:pPr>
              <w:pStyle w:val="TableParagraph"/>
              <w:rPr>
                <w:rFonts w:ascii="Times New Roman"/>
                <w:sz w:val="20"/>
              </w:rPr>
            </w:pPr>
          </w:p>
        </w:tc>
        <w:tc>
          <w:tcPr>
            <w:tcW w:w="1530" w:type="dxa"/>
            <w:shd w:val="clear" w:color="auto" w:fill="DDEBF6"/>
          </w:tcPr>
          <w:p>
            <w:pPr>
              <w:pStyle w:val="TableParagraph"/>
              <w:rPr>
                <w:rFonts w:ascii="Times New Roman"/>
                <w:sz w:val="20"/>
              </w:rPr>
            </w:pPr>
          </w:p>
        </w:tc>
        <w:tc>
          <w:tcPr>
            <w:tcW w:w="1350" w:type="dxa"/>
            <w:gridSpan w:val="2"/>
            <w:shd w:val="clear" w:color="auto" w:fill="DDEBF6"/>
          </w:tcPr>
          <w:p>
            <w:pPr>
              <w:pStyle w:val="TableParagraph"/>
              <w:rPr>
                <w:rFonts w:ascii="Times New Roman"/>
                <w:sz w:val="20"/>
              </w:rPr>
            </w:pPr>
          </w:p>
        </w:tc>
        <w:tc>
          <w:tcPr>
            <w:tcW w:w="1340" w:type="dxa"/>
            <w:tcBorders>
              <w:right w:val="nil"/>
            </w:tcBorders>
            <w:shd w:val="clear" w:color="auto" w:fill="DDEBF6"/>
          </w:tcPr>
          <w:p>
            <w:pPr>
              <w:pStyle w:val="TableParagraph"/>
              <w:rPr>
                <w:rFonts w:ascii="Times New Roman"/>
                <w:sz w:val="20"/>
              </w:rPr>
            </w:pPr>
          </w:p>
        </w:tc>
      </w:tr>
      <w:tr>
        <w:trPr>
          <w:trHeight w:val="417" w:hRule="atLeast"/>
        </w:trPr>
        <w:tc>
          <w:tcPr>
            <w:tcW w:w="620" w:type="dxa"/>
            <w:tcBorders>
              <w:left w:val="nil"/>
            </w:tcBorders>
            <w:shd w:val="clear" w:color="auto" w:fill="BDD7EE"/>
          </w:tcPr>
          <w:p>
            <w:pPr>
              <w:pStyle w:val="TableParagraph"/>
              <w:spacing w:before="58"/>
              <w:jc w:val="center"/>
              <w:rPr>
                <w:b/>
                <w:sz w:val="20"/>
              </w:rPr>
            </w:pPr>
            <w:r>
              <w:rPr>
                <w:b/>
                <w:sz w:val="20"/>
              </w:rPr>
              <w:t>2</w:t>
            </w:r>
          </w:p>
        </w:tc>
        <w:tc>
          <w:tcPr>
            <w:tcW w:w="1080" w:type="dxa"/>
            <w:shd w:val="clear" w:color="auto" w:fill="BDD7EE"/>
          </w:tcPr>
          <w:p>
            <w:pPr>
              <w:pStyle w:val="TableParagraph"/>
              <w:spacing w:before="58"/>
              <w:jc w:val="center"/>
              <w:rPr>
                <w:b/>
                <w:sz w:val="20"/>
              </w:rPr>
            </w:pPr>
            <w:r>
              <w:rPr>
                <w:b/>
                <w:sz w:val="20"/>
              </w:rPr>
              <w:t>5</w:t>
            </w:r>
          </w:p>
        </w:tc>
        <w:tc>
          <w:tcPr>
            <w:tcW w:w="3615" w:type="dxa"/>
            <w:gridSpan w:val="2"/>
            <w:shd w:val="clear" w:color="auto" w:fill="BDD7EE"/>
          </w:tcPr>
          <w:p>
            <w:pPr>
              <w:pStyle w:val="TableParagraph"/>
              <w:rPr>
                <w:rFonts w:ascii="Times New Roman"/>
                <w:sz w:val="20"/>
              </w:rPr>
            </w:pPr>
          </w:p>
        </w:tc>
        <w:tc>
          <w:tcPr>
            <w:tcW w:w="2775" w:type="dxa"/>
            <w:gridSpan w:val="2"/>
            <w:shd w:val="clear" w:color="auto" w:fill="BDD7EE"/>
          </w:tcPr>
          <w:p>
            <w:pPr>
              <w:pStyle w:val="TableParagraph"/>
              <w:spacing w:before="58"/>
              <w:ind w:left="38"/>
              <w:rPr>
                <w:sz w:val="20"/>
              </w:rPr>
            </w:pPr>
            <w:r>
              <w:rPr>
                <w:sz w:val="20"/>
              </w:rPr>
              <w:t>5 Alcance para la comunidad</w:t>
            </w:r>
          </w:p>
        </w:tc>
        <w:tc>
          <w:tcPr>
            <w:tcW w:w="1350" w:type="dxa"/>
            <w:shd w:val="clear" w:color="auto" w:fill="BDD7EE"/>
          </w:tcPr>
          <w:p>
            <w:pPr>
              <w:pStyle w:val="TableParagraph"/>
              <w:rPr>
                <w:rFonts w:ascii="Times New Roman"/>
                <w:sz w:val="20"/>
              </w:rPr>
            </w:pPr>
          </w:p>
        </w:tc>
        <w:tc>
          <w:tcPr>
            <w:tcW w:w="1440" w:type="dxa"/>
            <w:gridSpan w:val="2"/>
            <w:shd w:val="clear" w:color="auto" w:fill="BDD7EE"/>
          </w:tcPr>
          <w:p>
            <w:pPr>
              <w:pStyle w:val="TableParagraph"/>
              <w:rPr>
                <w:rFonts w:ascii="Times New Roman"/>
                <w:sz w:val="20"/>
              </w:rPr>
            </w:pPr>
          </w:p>
        </w:tc>
        <w:tc>
          <w:tcPr>
            <w:tcW w:w="1530" w:type="dxa"/>
            <w:shd w:val="clear" w:color="auto" w:fill="BDD7EE"/>
          </w:tcPr>
          <w:p>
            <w:pPr>
              <w:pStyle w:val="TableParagraph"/>
              <w:rPr>
                <w:rFonts w:ascii="Times New Roman"/>
                <w:sz w:val="20"/>
              </w:rPr>
            </w:pPr>
          </w:p>
        </w:tc>
        <w:tc>
          <w:tcPr>
            <w:tcW w:w="1350" w:type="dxa"/>
            <w:gridSpan w:val="2"/>
            <w:shd w:val="clear" w:color="auto" w:fill="BDD7EE"/>
          </w:tcPr>
          <w:p>
            <w:pPr>
              <w:pStyle w:val="TableParagraph"/>
              <w:rPr>
                <w:rFonts w:ascii="Times New Roman"/>
                <w:sz w:val="20"/>
              </w:rPr>
            </w:pPr>
          </w:p>
        </w:tc>
        <w:tc>
          <w:tcPr>
            <w:tcW w:w="1340" w:type="dxa"/>
            <w:tcBorders>
              <w:right w:val="nil"/>
            </w:tcBorders>
            <w:shd w:val="clear" w:color="auto" w:fill="BDD7EE"/>
          </w:tcPr>
          <w:p>
            <w:pPr>
              <w:pStyle w:val="TableParagraph"/>
              <w:rPr>
                <w:rFonts w:ascii="Times New Roman"/>
                <w:sz w:val="20"/>
              </w:rPr>
            </w:pPr>
          </w:p>
        </w:tc>
      </w:tr>
      <w:tr>
        <w:trPr>
          <w:trHeight w:val="415" w:hRule="atLeast"/>
        </w:trPr>
        <w:tc>
          <w:tcPr>
            <w:tcW w:w="620" w:type="dxa"/>
            <w:tcBorders>
              <w:left w:val="nil"/>
              <w:bottom w:val="single" w:sz="6" w:space="0" w:color="FFFFFF"/>
            </w:tcBorders>
            <w:shd w:val="clear" w:color="auto" w:fill="BDD7EE"/>
          </w:tcPr>
          <w:p>
            <w:pPr>
              <w:pStyle w:val="TableParagraph"/>
              <w:spacing w:before="58"/>
              <w:jc w:val="center"/>
              <w:rPr>
                <w:b/>
                <w:sz w:val="20"/>
              </w:rPr>
            </w:pPr>
            <w:r>
              <w:rPr>
                <w:b/>
                <w:sz w:val="20"/>
              </w:rPr>
              <w:t>3</w:t>
            </w:r>
          </w:p>
        </w:tc>
        <w:tc>
          <w:tcPr>
            <w:tcW w:w="1080" w:type="dxa"/>
            <w:tcBorders>
              <w:bottom w:val="single" w:sz="6" w:space="0" w:color="FFFFFF"/>
            </w:tcBorders>
            <w:shd w:val="clear" w:color="auto" w:fill="BDD7EE"/>
          </w:tcPr>
          <w:p>
            <w:pPr>
              <w:pStyle w:val="TableParagraph"/>
              <w:spacing w:before="58"/>
              <w:jc w:val="center"/>
              <w:rPr>
                <w:b/>
                <w:sz w:val="20"/>
              </w:rPr>
            </w:pPr>
            <w:r>
              <w:rPr>
                <w:b/>
                <w:sz w:val="20"/>
              </w:rPr>
              <w:t>1</w:t>
            </w:r>
          </w:p>
        </w:tc>
        <w:tc>
          <w:tcPr>
            <w:tcW w:w="3615" w:type="dxa"/>
            <w:gridSpan w:val="2"/>
            <w:tcBorders>
              <w:bottom w:val="single" w:sz="6" w:space="0" w:color="FFFFFF"/>
            </w:tcBorders>
            <w:shd w:val="clear" w:color="auto" w:fill="BDD7EE"/>
          </w:tcPr>
          <w:p>
            <w:pPr>
              <w:pStyle w:val="TableParagraph"/>
              <w:rPr>
                <w:rFonts w:ascii="Times New Roman"/>
                <w:sz w:val="20"/>
              </w:rPr>
            </w:pPr>
          </w:p>
        </w:tc>
        <w:tc>
          <w:tcPr>
            <w:tcW w:w="2775" w:type="dxa"/>
            <w:gridSpan w:val="2"/>
            <w:tcBorders>
              <w:bottom w:val="single" w:sz="6" w:space="0" w:color="FFFFFF"/>
            </w:tcBorders>
            <w:shd w:val="clear" w:color="auto" w:fill="BDD7EE"/>
          </w:tcPr>
          <w:p>
            <w:pPr>
              <w:pStyle w:val="TableParagraph"/>
              <w:spacing w:before="58"/>
              <w:ind w:left="38"/>
              <w:rPr>
                <w:sz w:val="20"/>
              </w:rPr>
            </w:pPr>
            <w:r>
              <w:rPr>
                <w:sz w:val="20"/>
              </w:rPr>
              <w:t>1 Instrucción de arte</w:t>
            </w:r>
          </w:p>
        </w:tc>
        <w:tc>
          <w:tcPr>
            <w:tcW w:w="1350" w:type="dxa"/>
            <w:tcBorders>
              <w:bottom w:val="single" w:sz="6" w:space="0" w:color="FFFFFF"/>
            </w:tcBorders>
            <w:shd w:val="clear" w:color="auto" w:fill="BDD7EE"/>
          </w:tcPr>
          <w:p>
            <w:pPr>
              <w:pStyle w:val="TableParagraph"/>
              <w:rPr>
                <w:rFonts w:ascii="Times New Roman"/>
                <w:sz w:val="20"/>
              </w:rPr>
            </w:pPr>
          </w:p>
        </w:tc>
        <w:tc>
          <w:tcPr>
            <w:tcW w:w="1440" w:type="dxa"/>
            <w:gridSpan w:val="2"/>
            <w:tcBorders>
              <w:bottom w:val="single" w:sz="6" w:space="0" w:color="FFFFFF"/>
            </w:tcBorders>
            <w:shd w:val="clear" w:color="auto" w:fill="BDD7EE"/>
          </w:tcPr>
          <w:p>
            <w:pPr>
              <w:pStyle w:val="TableParagraph"/>
              <w:rPr>
                <w:rFonts w:ascii="Times New Roman"/>
                <w:sz w:val="20"/>
              </w:rPr>
            </w:pPr>
          </w:p>
        </w:tc>
        <w:tc>
          <w:tcPr>
            <w:tcW w:w="1530" w:type="dxa"/>
            <w:tcBorders>
              <w:bottom w:val="single" w:sz="6" w:space="0" w:color="FFFFFF"/>
            </w:tcBorders>
            <w:shd w:val="clear" w:color="auto" w:fill="BDD7EE"/>
          </w:tcPr>
          <w:p>
            <w:pPr>
              <w:pStyle w:val="TableParagraph"/>
              <w:rPr>
                <w:rFonts w:ascii="Times New Roman"/>
                <w:sz w:val="20"/>
              </w:rPr>
            </w:pPr>
          </w:p>
        </w:tc>
        <w:tc>
          <w:tcPr>
            <w:tcW w:w="1350" w:type="dxa"/>
            <w:gridSpan w:val="2"/>
            <w:tcBorders>
              <w:bottom w:val="single" w:sz="6" w:space="0" w:color="FFFFFF"/>
            </w:tcBorders>
            <w:shd w:val="clear" w:color="auto" w:fill="BDD7EE"/>
          </w:tcPr>
          <w:p>
            <w:pPr>
              <w:pStyle w:val="TableParagraph"/>
              <w:rPr>
                <w:rFonts w:ascii="Times New Roman"/>
                <w:sz w:val="20"/>
              </w:rPr>
            </w:pPr>
          </w:p>
        </w:tc>
        <w:tc>
          <w:tcPr>
            <w:tcW w:w="1340" w:type="dxa"/>
            <w:tcBorders>
              <w:bottom w:val="single" w:sz="6" w:space="0" w:color="FFFFFF"/>
              <w:right w:val="nil"/>
            </w:tcBorders>
            <w:shd w:val="clear" w:color="auto" w:fill="BDD7EE"/>
          </w:tcPr>
          <w:p>
            <w:pPr>
              <w:pStyle w:val="TableParagraph"/>
              <w:rPr>
                <w:rFonts w:ascii="Times New Roman"/>
                <w:sz w:val="20"/>
              </w:rPr>
            </w:pPr>
          </w:p>
        </w:tc>
      </w:tr>
      <w:tr>
        <w:trPr>
          <w:trHeight w:val="745" w:hRule="atLeast"/>
        </w:trPr>
        <w:tc>
          <w:tcPr>
            <w:tcW w:w="620" w:type="dxa"/>
            <w:tcBorders>
              <w:top w:val="single" w:sz="6" w:space="0" w:color="FFFFFF"/>
              <w:left w:val="nil"/>
              <w:bottom w:val="nil"/>
            </w:tcBorders>
            <w:shd w:val="clear" w:color="auto" w:fill="DDEBF6"/>
          </w:tcPr>
          <w:p>
            <w:pPr>
              <w:pStyle w:val="TableParagraph"/>
              <w:spacing w:before="55"/>
              <w:jc w:val="center"/>
              <w:rPr>
                <w:b/>
                <w:sz w:val="20"/>
              </w:rPr>
            </w:pPr>
            <w:r>
              <w:rPr>
                <w:b/>
                <w:sz w:val="20"/>
              </w:rPr>
              <w:t>3</w:t>
            </w:r>
          </w:p>
        </w:tc>
        <w:tc>
          <w:tcPr>
            <w:tcW w:w="1080" w:type="dxa"/>
            <w:tcBorders>
              <w:top w:val="single" w:sz="6" w:space="0" w:color="FFFFFF"/>
              <w:bottom w:val="nil"/>
            </w:tcBorders>
            <w:shd w:val="clear" w:color="auto" w:fill="DDEBF6"/>
          </w:tcPr>
          <w:p>
            <w:pPr>
              <w:pStyle w:val="TableParagraph"/>
              <w:spacing w:before="55"/>
              <w:jc w:val="center"/>
              <w:rPr>
                <w:b/>
                <w:sz w:val="20"/>
              </w:rPr>
            </w:pPr>
            <w:r>
              <w:rPr>
                <w:b/>
                <w:sz w:val="20"/>
              </w:rPr>
              <w:t>2</w:t>
            </w:r>
          </w:p>
        </w:tc>
        <w:tc>
          <w:tcPr>
            <w:tcW w:w="3615" w:type="dxa"/>
            <w:gridSpan w:val="2"/>
            <w:tcBorders>
              <w:top w:val="single" w:sz="6" w:space="0" w:color="FFFFFF"/>
              <w:bottom w:val="nil"/>
            </w:tcBorders>
            <w:shd w:val="clear" w:color="auto" w:fill="DDEBF6"/>
          </w:tcPr>
          <w:p>
            <w:pPr>
              <w:pStyle w:val="TableParagraph"/>
              <w:rPr>
                <w:rFonts w:ascii="Times New Roman"/>
                <w:sz w:val="20"/>
              </w:rPr>
            </w:pPr>
          </w:p>
        </w:tc>
        <w:tc>
          <w:tcPr>
            <w:tcW w:w="2775" w:type="dxa"/>
            <w:gridSpan w:val="2"/>
            <w:tcBorders>
              <w:top w:val="single" w:sz="6" w:space="0" w:color="FFFFFF"/>
              <w:bottom w:val="nil"/>
            </w:tcBorders>
            <w:shd w:val="clear" w:color="auto" w:fill="DDEBF6"/>
          </w:tcPr>
          <w:p>
            <w:pPr>
              <w:pStyle w:val="TableParagraph"/>
              <w:spacing w:line="230" w:lineRule="atLeast" w:before="55"/>
              <w:ind w:left="38" w:right="194"/>
              <w:rPr>
                <w:sz w:val="20"/>
              </w:rPr>
            </w:pPr>
            <w:r>
              <w:rPr>
                <w:sz w:val="20"/>
              </w:rPr>
              <w:t>2 Capacitación profesional y suministros para la instrucción de arte</w:t>
            </w:r>
          </w:p>
        </w:tc>
        <w:tc>
          <w:tcPr>
            <w:tcW w:w="1350" w:type="dxa"/>
            <w:tcBorders>
              <w:top w:val="single" w:sz="6" w:space="0" w:color="FFFFFF"/>
              <w:bottom w:val="nil"/>
            </w:tcBorders>
            <w:shd w:val="clear" w:color="auto" w:fill="DDEBF6"/>
          </w:tcPr>
          <w:p>
            <w:pPr>
              <w:pStyle w:val="TableParagraph"/>
              <w:rPr>
                <w:rFonts w:ascii="Times New Roman"/>
                <w:sz w:val="20"/>
              </w:rPr>
            </w:pPr>
          </w:p>
        </w:tc>
        <w:tc>
          <w:tcPr>
            <w:tcW w:w="1440" w:type="dxa"/>
            <w:gridSpan w:val="2"/>
            <w:tcBorders>
              <w:top w:val="single" w:sz="6" w:space="0" w:color="FFFFFF"/>
              <w:bottom w:val="nil"/>
            </w:tcBorders>
            <w:shd w:val="clear" w:color="auto" w:fill="DDEBF6"/>
          </w:tcPr>
          <w:p>
            <w:pPr>
              <w:pStyle w:val="TableParagraph"/>
              <w:rPr>
                <w:rFonts w:ascii="Times New Roman"/>
                <w:sz w:val="20"/>
              </w:rPr>
            </w:pPr>
          </w:p>
        </w:tc>
        <w:tc>
          <w:tcPr>
            <w:tcW w:w="1530" w:type="dxa"/>
            <w:tcBorders>
              <w:top w:val="single" w:sz="6" w:space="0" w:color="FFFFFF"/>
              <w:bottom w:val="nil"/>
            </w:tcBorders>
            <w:shd w:val="clear" w:color="auto" w:fill="DDEBF6"/>
          </w:tcPr>
          <w:p>
            <w:pPr>
              <w:pStyle w:val="TableParagraph"/>
              <w:rPr>
                <w:rFonts w:ascii="Times New Roman"/>
                <w:sz w:val="20"/>
              </w:rPr>
            </w:pPr>
          </w:p>
        </w:tc>
        <w:tc>
          <w:tcPr>
            <w:tcW w:w="1350" w:type="dxa"/>
            <w:gridSpan w:val="2"/>
            <w:tcBorders>
              <w:top w:val="single" w:sz="6" w:space="0" w:color="FFFFFF"/>
              <w:bottom w:val="nil"/>
            </w:tcBorders>
            <w:shd w:val="clear" w:color="auto" w:fill="DDEBF6"/>
          </w:tcPr>
          <w:p>
            <w:pPr>
              <w:pStyle w:val="TableParagraph"/>
              <w:rPr>
                <w:rFonts w:ascii="Times New Roman"/>
                <w:sz w:val="20"/>
              </w:rPr>
            </w:pPr>
          </w:p>
        </w:tc>
        <w:tc>
          <w:tcPr>
            <w:tcW w:w="1340" w:type="dxa"/>
            <w:tcBorders>
              <w:top w:val="single" w:sz="6" w:space="0" w:color="FFFFFF"/>
              <w:bottom w:val="nil"/>
              <w:right w:val="nil"/>
            </w:tcBorders>
            <w:shd w:val="clear" w:color="auto" w:fill="DDEBF6"/>
          </w:tcPr>
          <w:p>
            <w:pPr>
              <w:pStyle w:val="TableParagraph"/>
              <w:rPr>
                <w:rFonts w:ascii="Times New Roman"/>
                <w:sz w:val="20"/>
              </w:rPr>
            </w:pPr>
          </w:p>
        </w:tc>
      </w:tr>
    </w:tbl>
    <w:p>
      <w:pPr>
        <w:spacing w:after="0"/>
        <w:rPr>
          <w:rFonts w:ascii="Times New Roman"/>
          <w:sz w:val="20"/>
        </w:rPr>
        <w:sectPr>
          <w:pgSz w:w="15840" w:h="12240" w:orient="landscape"/>
          <w:pgMar w:header="0" w:footer="284" w:top="840" w:bottom="560" w:left="120" w:right="120"/>
        </w:sectPr>
      </w:pPr>
    </w:p>
    <w:p>
      <w:pPr>
        <w:spacing w:before="72"/>
        <w:ind w:left="240" w:right="0" w:firstLine="0"/>
        <w:jc w:val="left"/>
        <w:rPr>
          <w:b/>
          <w:sz w:val="24"/>
        </w:rPr>
      </w:pPr>
      <w:bookmarkStart w:name="Tablas con Gastos Contribuyentes" w:id="40"/>
      <w:bookmarkEnd w:id="40"/>
      <w:r>
        <w:rPr/>
      </w:r>
      <w:r>
        <w:rPr>
          <w:b/>
          <w:sz w:val="24"/>
        </w:rPr>
        <w:t>Tablas con Gastos Contribuyentes</w:t>
      </w:r>
    </w:p>
    <w:p>
      <w:pPr>
        <w:pStyle w:val="BodyText"/>
        <w:spacing w:before="9" w:after="1"/>
        <w:rPr>
          <w:b/>
          <w:sz w:val="10"/>
        </w:rPr>
      </w:pPr>
    </w:p>
    <w:tbl>
      <w:tblPr>
        <w:tblCellSpacing w:w="5" w:type="dxa"/>
        <w:tblW w:w="0" w:type="auto"/>
        <w:jc w:val="left"/>
        <w:tblInd w:w="72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456"/>
        <w:gridCol w:w="2848"/>
        <w:gridCol w:w="2845"/>
      </w:tblGrid>
      <w:tr>
        <w:trPr>
          <w:trHeight w:val="340" w:hRule="atLeast"/>
        </w:trPr>
        <w:tc>
          <w:tcPr>
            <w:tcW w:w="2456" w:type="dxa"/>
            <w:tcBorders>
              <w:top w:val="nil"/>
              <w:left w:val="nil"/>
            </w:tcBorders>
            <w:shd w:val="clear" w:color="auto" w:fill="1F4E79"/>
          </w:tcPr>
          <w:p>
            <w:pPr>
              <w:pStyle w:val="TableParagraph"/>
              <w:spacing w:before="89"/>
              <w:ind w:left="196" w:right="196"/>
              <w:jc w:val="center"/>
              <w:rPr>
                <w:b/>
                <w:sz w:val="20"/>
              </w:rPr>
            </w:pPr>
            <w:r>
              <w:rPr>
                <w:b/>
                <w:color w:val="FFFFFF"/>
                <w:sz w:val="20"/>
              </w:rPr>
              <w:t>Totales por Tipo</w:t>
            </w:r>
          </w:p>
        </w:tc>
        <w:tc>
          <w:tcPr>
            <w:tcW w:w="2848" w:type="dxa"/>
            <w:tcBorders>
              <w:top w:val="nil"/>
            </w:tcBorders>
            <w:shd w:val="clear" w:color="auto" w:fill="1F4E79"/>
          </w:tcPr>
          <w:p>
            <w:pPr>
              <w:pStyle w:val="TableParagraph"/>
              <w:spacing w:before="89"/>
              <w:ind w:left="254" w:right="254"/>
              <w:jc w:val="center"/>
              <w:rPr>
                <w:b/>
                <w:sz w:val="20"/>
              </w:rPr>
            </w:pPr>
            <w:r>
              <w:rPr>
                <w:b/>
                <w:color w:val="FFFFFF"/>
                <w:sz w:val="20"/>
              </w:rPr>
              <w:t>Total para Fondos LCFF</w:t>
            </w:r>
          </w:p>
        </w:tc>
        <w:tc>
          <w:tcPr>
            <w:tcW w:w="2845" w:type="dxa"/>
            <w:tcBorders>
              <w:top w:val="nil"/>
              <w:right w:val="nil"/>
            </w:tcBorders>
            <w:shd w:val="clear" w:color="auto" w:fill="1F4E79"/>
          </w:tcPr>
          <w:p>
            <w:pPr>
              <w:pStyle w:val="TableParagraph"/>
              <w:spacing w:before="89"/>
              <w:ind w:left="630" w:right="630"/>
              <w:jc w:val="center"/>
              <w:rPr>
                <w:b/>
                <w:sz w:val="20"/>
              </w:rPr>
            </w:pPr>
            <w:r>
              <w:rPr>
                <w:b/>
                <w:color w:val="FFFFFF"/>
                <w:sz w:val="20"/>
              </w:rPr>
              <w:t>Total de Fondos</w:t>
            </w:r>
          </w:p>
        </w:tc>
      </w:tr>
      <w:tr>
        <w:trPr>
          <w:trHeight w:val="555" w:hRule="atLeast"/>
        </w:trPr>
        <w:tc>
          <w:tcPr>
            <w:tcW w:w="2456" w:type="dxa"/>
            <w:tcBorders>
              <w:left w:val="nil"/>
            </w:tcBorders>
            <w:shd w:val="clear" w:color="auto" w:fill="BDD7EE"/>
          </w:tcPr>
          <w:p>
            <w:pPr>
              <w:pStyle w:val="TableParagraph"/>
              <w:spacing w:before="197"/>
              <w:ind w:left="196" w:right="196"/>
              <w:jc w:val="center"/>
              <w:rPr>
                <w:b/>
                <w:sz w:val="20"/>
              </w:rPr>
            </w:pPr>
            <w:r>
              <w:rPr>
                <w:b/>
                <w:sz w:val="20"/>
              </w:rPr>
              <w:t>Total:</w:t>
            </w:r>
          </w:p>
        </w:tc>
        <w:tc>
          <w:tcPr>
            <w:tcW w:w="2848" w:type="dxa"/>
            <w:shd w:val="clear" w:color="auto" w:fill="BDD7EE"/>
          </w:tcPr>
          <w:p>
            <w:pPr>
              <w:pStyle w:val="TableParagraph"/>
              <w:spacing w:before="197"/>
              <w:ind w:left="254" w:right="254"/>
              <w:jc w:val="center"/>
              <w:rPr>
                <w:sz w:val="20"/>
              </w:rPr>
            </w:pPr>
            <w:r>
              <w:rPr>
                <w:sz w:val="20"/>
              </w:rPr>
              <w:t>$0.00</w:t>
            </w:r>
          </w:p>
        </w:tc>
        <w:tc>
          <w:tcPr>
            <w:tcW w:w="2845" w:type="dxa"/>
            <w:tcBorders>
              <w:right w:val="nil"/>
            </w:tcBorders>
            <w:shd w:val="clear" w:color="auto" w:fill="BDD7EE"/>
          </w:tcPr>
          <w:p>
            <w:pPr>
              <w:pStyle w:val="TableParagraph"/>
              <w:spacing w:before="197"/>
              <w:ind w:left="630" w:right="630"/>
              <w:jc w:val="center"/>
              <w:rPr>
                <w:sz w:val="20"/>
              </w:rPr>
            </w:pPr>
            <w:r>
              <w:rPr>
                <w:sz w:val="20"/>
              </w:rPr>
              <w:t>$0.00</w:t>
            </w:r>
          </w:p>
        </w:tc>
      </w:tr>
      <w:tr>
        <w:trPr>
          <w:trHeight w:val="555" w:hRule="atLeast"/>
        </w:trPr>
        <w:tc>
          <w:tcPr>
            <w:tcW w:w="2456" w:type="dxa"/>
            <w:tcBorders>
              <w:left w:val="nil"/>
            </w:tcBorders>
            <w:shd w:val="clear" w:color="auto" w:fill="DDEBF6"/>
          </w:tcPr>
          <w:p>
            <w:pPr>
              <w:pStyle w:val="TableParagraph"/>
              <w:spacing w:before="197"/>
              <w:ind w:left="196" w:right="196"/>
              <w:jc w:val="center"/>
              <w:rPr>
                <w:b/>
                <w:sz w:val="20"/>
              </w:rPr>
            </w:pPr>
            <w:r>
              <w:rPr>
                <w:b/>
                <w:sz w:val="20"/>
              </w:rPr>
              <w:t>Total a nivel del LEA:</w:t>
            </w:r>
          </w:p>
        </w:tc>
        <w:tc>
          <w:tcPr>
            <w:tcW w:w="2848" w:type="dxa"/>
            <w:shd w:val="clear" w:color="auto" w:fill="DDEBF6"/>
          </w:tcPr>
          <w:p>
            <w:pPr>
              <w:pStyle w:val="TableParagraph"/>
              <w:spacing w:before="197"/>
              <w:ind w:left="254" w:right="254"/>
              <w:jc w:val="center"/>
              <w:rPr>
                <w:sz w:val="20"/>
              </w:rPr>
            </w:pPr>
            <w:r>
              <w:rPr>
                <w:sz w:val="20"/>
              </w:rPr>
              <w:t>$0.00</w:t>
            </w:r>
          </w:p>
        </w:tc>
        <w:tc>
          <w:tcPr>
            <w:tcW w:w="2845" w:type="dxa"/>
            <w:tcBorders>
              <w:right w:val="nil"/>
            </w:tcBorders>
            <w:shd w:val="clear" w:color="auto" w:fill="DDEBF6"/>
          </w:tcPr>
          <w:p>
            <w:pPr>
              <w:pStyle w:val="TableParagraph"/>
              <w:spacing w:before="197"/>
              <w:ind w:left="630" w:right="630"/>
              <w:jc w:val="center"/>
              <w:rPr>
                <w:sz w:val="20"/>
              </w:rPr>
            </w:pPr>
            <w:r>
              <w:rPr>
                <w:sz w:val="20"/>
              </w:rPr>
              <w:t>$0.00</w:t>
            </w:r>
          </w:p>
        </w:tc>
      </w:tr>
      <w:tr>
        <w:trPr>
          <w:trHeight w:val="553" w:hRule="atLeast"/>
        </w:trPr>
        <w:tc>
          <w:tcPr>
            <w:tcW w:w="2456" w:type="dxa"/>
            <w:tcBorders>
              <w:left w:val="nil"/>
              <w:bottom w:val="nil"/>
            </w:tcBorders>
            <w:shd w:val="clear" w:color="auto" w:fill="BDD7EE"/>
          </w:tcPr>
          <w:p>
            <w:pPr>
              <w:pStyle w:val="TableParagraph"/>
              <w:spacing w:before="197"/>
              <w:ind w:left="196" w:right="196"/>
              <w:jc w:val="center"/>
              <w:rPr>
                <w:b/>
                <w:sz w:val="20"/>
              </w:rPr>
            </w:pPr>
            <w:r>
              <w:rPr>
                <w:b/>
                <w:sz w:val="20"/>
              </w:rPr>
              <w:t>Total Limitado:</w:t>
            </w:r>
          </w:p>
        </w:tc>
        <w:tc>
          <w:tcPr>
            <w:tcW w:w="2848" w:type="dxa"/>
            <w:tcBorders>
              <w:bottom w:val="nil"/>
            </w:tcBorders>
            <w:shd w:val="clear" w:color="auto" w:fill="BDD7EE"/>
          </w:tcPr>
          <w:p>
            <w:pPr>
              <w:pStyle w:val="TableParagraph"/>
              <w:spacing w:before="197"/>
              <w:ind w:left="254" w:right="254"/>
              <w:jc w:val="center"/>
              <w:rPr>
                <w:sz w:val="20"/>
              </w:rPr>
            </w:pPr>
            <w:r>
              <w:rPr>
                <w:sz w:val="20"/>
              </w:rPr>
              <w:t>$0.00</w:t>
            </w:r>
          </w:p>
        </w:tc>
        <w:tc>
          <w:tcPr>
            <w:tcW w:w="2845" w:type="dxa"/>
            <w:tcBorders>
              <w:bottom w:val="nil"/>
              <w:right w:val="nil"/>
            </w:tcBorders>
            <w:shd w:val="clear" w:color="auto" w:fill="BDD7EE"/>
          </w:tcPr>
          <w:p>
            <w:pPr>
              <w:pStyle w:val="TableParagraph"/>
              <w:spacing w:before="197"/>
              <w:ind w:left="630" w:right="630"/>
              <w:jc w:val="center"/>
              <w:rPr>
                <w:sz w:val="20"/>
              </w:rPr>
            </w:pPr>
            <w:r>
              <w:rPr>
                <w:sz w:val="20"/>
              </w:rPr>
              <w:t>$0.00</w:t>
            </w:r>
          </w:p>
        </w:tc>
      </w:tr>
      <w:tr>
        <w:trPr>
          <w:trHeight w:val="553" w:hRule="atLeast"/>
        </w:trPr>
        <w:tc>
          <w:tcPr>
            <w:tcW w:w="2456" w:type="dxa"/>
            <w:tcBorders>
              <w:top w:val="nil"/>
              <w:left w:val="nil"/>
              <w:bottom w:val="nil"/>
            </w:tcBorders>
            <w:shd w:val="clear" w:color="auto" w:fill="DDEBF6"/>
          </w:tcPr>
          <w:p>
            <w:pPr>
              <w:pStyle w:val="TableParagraph"/>
              <w:spacing w:before="194"/>
              <w:ind w:left="196" w:right="196"/>
              <w:jc w:val="center"/>
              <w:rPr>
                <w:b/>
                <w:sz w:val="20"/>
              </w:rPr>
            </w:pPr>
            <w:r>
              <w:rPr>
                <w:b/>
                <w:sz w:val="20"/>
              </w:rPr>
              <w:t>Total a nivel Escolar:</w:t>
            </w:r>
          </w:p>
        </w:tc>
        <w:tc>
          <w:tcPr>
            <w:tcW w:w="2848" w:type="dxa"/>
            <w:tcBorders>
              <w:top w:val="nil"/>
              <w:bottom w:val="nil"/>
            </w:tcBorders>
            <w:shd w:val="clear" w:color="auto" w:fill="DDEBF6"/>
          </w:tcPr>
          <w:p>
            <w:pPr>
              <w:pStyle w:val="TableParagraph"/>
              <w:spacing w:before="194"/>
              <w:ind w:left="254" w:right="254"/>
              <w:jc w:val="center"/>
              <w:rPr>
                <w:sz w:val="20"/>
              </w:rPr>
            </w:pPr>
            <w:r>
              <w:rPr>
                <w:sz w:val="20"/>
              </w:rPr>
              <w:t>$0.00</w:t>
            </w:r>
          </w:p>
        </w:tc>
        <w:tc>
          <w:tcPr>
            <w:tcW w:w="2845" w:type="dxa"/>
            <w:tcBorders>
              <w:top w:val="nil"/>
              <w:bottom w:val="nil"/>
              <w:right w:val="nil"/>
            </w:tcBorders>
            <w:shd w:val="clear" w:color="auto" w:fill="DDEBF6"/>
          </w:tcPr>
          <w:p>
            <w:pPr>
              <w:pStyle w:val="TableParagraph"/>
              <w:spacing w:before="194"/>
              <w:ind w:left="630" w:right="630"/>
              <w:jc w:val="center"/>
              <w:rPr>
                <w:sz w:val="20"/>
              </w:rPr>
            </w:pPr>
            <w:r>
              <w:rPr>
                <w:sz w:val="20"/>
              </w:rPr>
              <w:t>$0.00</w:t>
            </w:r>
          </w:p>
        </w:tc>
      </w:tr>
    </w:tbl>
    <w:p>
      <w:pPr>
        <w:pStyle w:val="BodyText"/>
        <w:spacing w:before="8"/>
        <w:rPr>
          <w:b/>
          <w:sz w:val="21"/>
        </w:rPr>
      </w:pPr>
    </w:p>
    <w:tbl>
      <w:tblPr>
        <w:tblCellSpacing w:w="5" w:type="dxa"/>
        <w:tblW w:w="0" w:type="auto"/>
        <w:jc w:val="left"/>
        <w:tblInd w:w="2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10"/>
        <w:gridCol w:w="990"/>
        <w:gridCol w:w="2250"/>
        <w:gridCol w:w="2520"/>
        <w:gridCol w:w="3060"/>
        <w:gridCol w:w="2340"/>
        <w:gridCol w:w="1530"/>
        <w:gridCol w:w="1700"/>
      </w:tblGrid>
      <w:tr>
        <w:trPr>
          <w:trHeight w:val="507" w:hRule="atLeast"/>
        </w:trPr>
        <w:tc>
          <w:tcPr>
            <w:tcW w:w="710" w:type="dxa"/>
            <w:tcBorders>
              <w:top w:val="nil"/>
              <w:left w:val="nil"/>
            </w:tcBorders>
            <w:shd w:val="clear" w:color="auto" w:fill="1F4E79"/>
          </w:tcPr>
          <w:p>
            <w:pPr>
              <w:pStyle w:val="TableParagraph"/>
              <w:spacing w:before="173"/>
              <w:ind w:left="124"/>
              <w:rPr>
                <w:b/>
                <w:sz w:val="20"/>
              </w:rPr>
            </w:pPr>
            <w:r>
              <w:rPr>
                <w:b/>
                <w:color w:val="FFFFFF"/>
                <w:sz w:val="20"/>
              </w:rPr>
              <w:t>Meta</w:t>
            </w:r>
          </w:p>
        </w:tc>
        <w:tc>
          <w:tcPr>
            <w:tcW w:w="990" w:type="dxa"/>
            <w:tcBorders>
              <w:top w:val="nil"/>
            </w:tcBorders>
            <w:shd w:val="clear" w:color="auto" w:fill="1F4E79"/>
          </w:tcPr>
          <w:p>
            <w:pPr>
              <w:pStyle w:val="TableParagraph"/>
              <w:spacing w:before="173"/>
              <w:ind w:left="73"/>
              <w:rPr>
                <w:b/>
                <w:sz w:val="20"/>
              </w:rPr>
            </w:pPr>
            <w:r>
              <w:rPr>
                <w:b/>
                <w:color w:val="FFFFFF"/>
                <w:sz w:val="20"/>
              </w:rPr>
              <w:t>Acción #</w:t>
            </w:r>
          </w:p>
        </w:tc>
        <w:tc>
          <w:tcPr>
            <w:tcW w:w="2250" w:type="dxa"/>
            <w:tcBorders>
              <w:top w:val="nil"/>
            </w:tcBorders>
            <w:shd w:val="clear" w:color="auto" w:fill="1F4E79"/>
          </w:tcPr>
          <w:p>
            <w:pPr>
              <w:pStyle w:val="TableParagraph"/>
              <w:spacing w:before="173"/>
              <w:ind w:left="342"/>
              <w:rPr>
                <w:b/>
                <w:sz w:val="20"/>
              </w:rPr>
            </w:pPr>
            <w:r>
              <w:rPr>
                <w:b/>
                <w:color w:val="FFFFFF"/>
                <w:sz w:val="20"/>
              </w:rPr>
              <w:t>Título de Acción</w:t>
            </w:r>
          </w:p>
        </w:tc>
        <w:tc>
          <w:tcPr>
            <w:tcW w:w="2520" w:type="dxa"/>
            <w:tcBorders>
              <w:top w:val="nil"/>
            </w:tcBorders>
            <w:shd w:val="clear" w:color="auto" w:fill="1F4E79"/>
          </w:tcPr>
          <w:p>
            <w:pPr>
              <w:pStyle w:val="TableParagraph"/>
              <w:spacing w:before="173"/>
              <w:ind w:left="1000" w:right="1000"/>
              <w:jc w:val="center"/>
              <w:rPr>
                <w:b/>
                <w:sz w:val="20"/>
              </w:rPr>
            </w:pPr>
            <w:r>
              <w:rPr>
                <w:b/>
                <w:color w:val="FFFFFF"/>
                <w:sz w:val="20"/>
              </w:rPr>
              <w:t>Nivel</w:t>
            </w:r>
          </w:p>
        </w:tc>
        <w:tc>
          <w:tcPr>
            <w:tcW w:w="3060" w:type="dxa"/>
            <w:tcBorders>
              <w:top w:val="nil"/>
            </w:tcBorders>
            <w:shd w:val="clear" w:color="auto" w:fill="1F4E79"/>
          </w:tcPr>
          <w:p>
            <w:pPr>
              <w:pStyle w:val="TableParagraph"/>
              <w:spacing w:line="230" w:lineRule="atLeast" w:before="58"/>
              <w:ind w:left="958" w:right="193" w:hanging="756"/>
              <w:rPr>
                <w:b/>
                <w:sz w:val="20"/>
              </w:rPr>
            </w:pPr>
            <w:r>
              <w:rPr>
                <w:b/>
                <w:color w:val="FFFFFF"/>
                <w:sz w:val="20"/>
              </w:rPr>
              <w:t>Grupo(s) Estudiantil(es) Sin Duplicación</w:t>
            </w:r>
          </w:p>
        </w:tc>
        <w:tc>
          <w:tcPr>
            <w:tcW w:w="2340" w:type="dxa"/>
            <w:tcBorders>
              <w:top w:val="nil"/>
            </w:tcBorders>
            <w:shd w:val="clear" w:color="auto" w:fill="1F4E79"/>
          </w:tcPr>
          <w:p>
            <w:pPr>
              <w:pStyle w:val="TableParagraph"/>
              <w:spacing w:before="173"/>
              <w:ind w:left="687"/>
              <w:rPr>
                <w:b/>
                <w:sz w:val="20"/>
              </w:rPr>
            </w:pPr>
            <w:r>
              <w:rPr>
                <w:b/>
                <w:color w:val="FFFFFF"/>
                <w:sz w:val="20"/>
              </w:rPr>
              <w:t>Ubicación</w:t>
            </w:r>
          </w:p>
        </w:tc>
        <w:tc>
          <w:tcPr>
            <w:tcW w:w="1530" w:type="dxa"/>
            <w:tcBorders>
              <w:top w:val="nil"/>
            </w:tcBorders>
            <w:shd w:val="clear" w:color="auto" w:fill="1F4E79"/>
          </w:tcPr>
          <w:p>
            <w:pPr>
              <w:pStyle w:val="TableParagraph"/>
              <w:spacing w:before="173"/>
              <w:ind w:left="115"/>
              <w:rPr>
                <w:b/>
                <w:sz w:val="20"/>
              </w:rPr>
            </w:pPr>
            <w:r>
              <w:rPr>
                <w:b/>
                <w:color w:val="FFFFFF"/>
                <w:sz w:val="20"/>
              </w:rPr>
              <w:t>Fondos LCFF</w:t>
            </w:r>
          </w:p>
        </w:tc>
        <w:tc>
          <w:tcPr>
            <w:tcW w:w="1700" w:type="dxa"/>
            <w:tcBorders>
              <w:top w:val="nil"/>
              <w:right w:val="nil"/>
            </w:tcBorders>
            <w:shd w:val="clear" w:color="auto" w:fill="1F4E79"/>
          </w:tcPr>
          <w:p>
            <w:pPr>
              <w:pStyle w:val="TableParagraph"/>
              <w:spacing w:before="173"/>
              <w:ind w:left="75"/>
              <w:rPr>
                <w:b/>
                <w:sz w:val="20"/>
              </w:rPr>
            </w:pPr>
            <w:r>
              <w:rPr>
                <w:b/>
                <w:color w:val="FFFFFF"/>
                <w:sz w:val="20"/>
              </w:rPr>
              <w:t>Total de Fondos</w:t>
            </w:r>
          </w:p>
        </w:tc>
      </w:tr>
      <w:tr>
        <w:trPr>
          <w:trHeight w:val="737" w:hRule="atLeast"/>
        </w:trPr>
        <w:tc>
          <w:tcPr>
            <w:tcW w:w="710" w:type="dxa"/>
            <w:tcBorders>
              <w:left w:val="nil"/>
              <w:bottom w:val="nil"/>
            </w:tcBorders>
            <w:shd w:val="clear" w:color="auto" w:fill="BDD7EE"/>
          </w:tcPr>
          <w:p>
            <w:pPr>
              <w:pStyle w:val="TableParagraph"/>
              <w:rPr>
                <w:rFonts w:ascii="Times New Roman"/>
                <w:sz w:val="20"/>
              </w:rPr>
            </w:pPr>
          </w:p>
        </w:tc>
        <w:tc>
          <w:tcPr>
            <w:tcW w:w="990" w:type="dxa"/>
            <w:tcBorders>
              <w:bottom w:val="nil"/>
            </w:tcBorders>
            <w:shd w:val="clear" w:color="auto" w:fill="BDD7EE"/>
          </w:tcPr>
          <w:p>
            <w:pPr>
              <w:pStyle w:val="TableParagraph"/>
              <w:rPr>
                <w:rFonts w:ascii="Times New Roman"/>
                <w:sz w:val="20"/>
              </w:rPr>
            </w:pPr>
          </w:p>
        </w:tc>
        <w:tc>
          <w:tcPr>
            <w:tcW w:w="2250" w:type="dxa"/>
            <w:tcBorders>
              <w:bottom w:val="nil"/>
            </w:tcBorders>
            <w:shd w:val="clear" w:color="auto" w:fill="BDD7EE"/>
          </w:tcPr>
          <w:p>
            <w:pPr>
              <w:pStyle w:val="TableParagraph"/>
              <w:rPr>
                <w:rFonts w:ascii="Times New Roman"/>
                <w:sz w:val="20"/>
              </w:rPr>
            </w:pPr>
          </w:p>
        </w:tc>
        <w:tc>
          <w:tcPr>
            <w:tcW w:w="2520" w:type="dxa"/>
            <w:tcBorders>
              <w:bottom w:val="nil"/>
            </w:tcBorders>
            <w:shd w:val="clear" w:color="auto" w:fill="BDD7EE"/>
          </w:tcPr>
          <w:p>
            <w:pPr>
              <w:pStyle w:val="TableParagraph"/>
              <w:rPr>
                <w:rFonts w:ascii="Times New Roman"/>
                <w:sz w:val="20"/>
              </w:rPr>
            </w:pPr>
          </w:p>
        </w:tc>
        <w:tc>
          <w:tcPr>
            <w:tcW w:w="3060" w:type="dxa"/>
            <w:tcBorders>
              <w:bottom w:val="nil"/>
            </w:tcBorders>
            <w:shd w:val="clear" w:color="auto" w:fill="BDD7EE"/>
          </w:tcPr>
          <w:p>
            <w:pPr>
              <w:pStyle w:val="TableParagraph"/>
              <w:rPr>
                <w:rFonts w:ascii="Times New Roman"/>
                <w:sz w:val="20"/>
              </w:rPr>
            </w:pPr>
          </w:p>
        </w:tc>
        <w:tc>
          <w:tcPr>
            <w:tcW w:w="2340" w:type="dxa"/>
            <w:tcBorders>
              <w:bottom w:val="nil"/>
            </w:tcBorders>
            <w:shd w:val="clear" w:color="auto" w:fill="BDD7EE"/>
          </w:tcPr>
          <w:p>
            <w:pPr>
              <w:pStyle w:val="TableParagraph"/>
              <w:rPr>
                <w:rFonts w:ascii="Times New Roman"/>
                <w:sz w:val="20"/>
              </w:rPr>
            </w:pPr>
          </w:p>
        </w:tc>
        <w:tc>
          <w:tcPr>
            <w:tcW w:w="1530" w:type="dxa"/>
            <w:tcBorders>
              <w:bottom w:val="nil"/>
            </w:tcBorders>
            <w:shd w:val="clear" w:color="auto" w:fill="BDD7EE"/>
          </w:tcPr>
          <w:p>
            <w:pPr>
              <w:pStyle w:val="TableParagraph"/>
              <w:rPr>
                <w:rFonts w:ascii="Times New Roman"/>
                <w:sz w:val="20"/>
              </w:rPr>
            </w:pPr>
          </w:p>
        </w:tc>
        <w:tc>
          <w:tcPr>
            <w:tcW w:w="1700" w:type="dxa"/>
            <w:tcBorders>
              <w:bottom w:val="nil"/>
              <w:right w:val="nil"/>
            </w:tcBorders>
            <w:shd w:val="clear" w:color="auto" w:fill="BDD7EE"/>
          </w:tcPr>
          <w:p>
            <w:pPr>
              <w:pStyle w:val="TableParagraph"/>
              <w:rPr>
                <w:rFonts w:ascii="Times New Roman"/>
                <w:sz w:val="20"/>
              </w:rPr>
            </w:pPr>
          </w:p>
        </w:tc>
      </w:tr>
    </w:tbl>
    <w:p>
      <w:pPr>
        <w:spacing w:after="0"/>
        <w:rPr>
          <w:rFonts w:ascii="Times New Roman"/>
          <w:sz w:val="20"/>
        </w:rPr>
        <w:sectPr>
          <w:pgSz w:w="15840" w:h="12240" w:orient="landscape"/>
          <w:pgMar w:header="0" w:footer="284" w:top="840" w:bottom="560" w:left="120" w:right="120"/>
        </w:sectPr>
      </w:pPr>
    </w:p>
    <w:p>
      <w:pPr>
        <w:spacing w:before="72"/>
        <w:ind w:left="240" w:right="0" w:firstLine="0"/>
        <w:jc w:val="left"/>
        <w:rPr>
          <w:b/>
          <w:sz w:val="24"/>
        </w:rPr>
      </w:pPr>
      <w:bookmarkStart w:name="Tabla de Actualización Anual Año 1 [2021" w:id="41"/>
      <w:bookmarkEnd w:id="41"/>
      <w:r>
        <w:rPr/>
      </w:r>
      <w:r>
        <w:rPr>
          <w:b/>
          <w:sz w:val="24"/>
        </w:rPr>
        <w:t>Tabla de Actualización Anual Año 1 [2021-22]</w:t>
      </w:r>
    </w:p>
    <w:p>
      <w:pPr>
        <w:pStyle w:val="BodyText"/>
        <w:spacing w:before="11"/>
        <w:rPr>
          <w:b/>
          <w:sz w:val="23"/>
        </w:rPr>
      </w:pPr>
    </w:p>
    <w:p>
      <w:pPr>
        <w:pStyle w:val="BodyText"/>
        <w:ind w:left="240"/>
      </w:pPr>
      <w:r>
        <w:rPr/>
        <w:t>Actualización anual de las metas para 2021-22 se llevará a cabo durante el ciclo de actualización en 2022-23.</w:t>
      </w:r>
    </w:p>
    <w:p>
      <w:pPr>
        <w:pStyle w:val="BodyText"/>
        <w:spacing w:before="10"/>
      </w:pPr>
    </w:p>
    <w:tbl>
      <w:tblPr>
        <w:tblCellSpacing w:w="4" w:type="dxa"/>
        <w:tblW w:w="0" w:type="auto"/>
        <w:jc w:val="left"/>
        <w:tblInd w:w="2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32"/>
        <w:gridCol w:w="1438"/>
        <w:gridCol w:w="3568"/>
        <w:gridCol w:w="2301"/>
        <w:gridCol w:w="3477"/>
        <w:gridCol w:w="2884"/>
      </w:tblGrid>
      <w:tr>
        <w:trPr>
          <w:trHeight w:val="737" w:hRule="atLeast"/>
        </w:trPr>
        <w:tc>
          <w:tcPr>
            <w:tcW w:w="1432" w:type="dxa"/>
            <w:tcBorders>
              <w:top w:val="nil"/>
              <w:left w:val="nil"/>
            </w:tcBorders>
            <w:shd w:val="clear" w:color="auto" w:fill="1F4E79"/>
          </w:tcPr>
          <w:p>
            <w:pPr>
              <w:pStyle w:val="TableParagraph"/>
              <w:spacing w:line="230" w:lineRule="atLeast" w:before="58"/>
              <w:ind w:left="346" w:right="133" w:hanging="201"/>
              <w:rPr>
                <w:b/>
                <w:sz w:val="20"/>
              </w:rPr>
            </w:pPr>
            <w:r>
              <w:rPr>
                <w:b/>
                <w:color w:val="FFFFFF"/>
                <w:sz w:val="20"/>
              </w:rPr>
              <w:t># de la Meta del Año Pasado</w:t>
            </w:r>
          </w:p>
        </w:tc>
        <w:tc>
          <w:tcPr>
            <w:tcW w:w="1438" w:type="dxa"/>
            <w:tcBorders>
              <w:top w:val="nil"/>
            </w:tcBorders>
            <w:shd w:val="clear" w:color="auto" w:fill="1F4E79"/>
          </w:tcPr>
          <w:p>
            <w:pPr>
              <w:pStyle w:val="TableParagraph"/>
              <w:spacing w:line="230" w:lineRule="atLeast" w:before="58"/>
              <w:ind w:left="136" w:right="134"/>
              <w:jc w:val="center"/>
              <w:rPr>
                <w:b/>
                <w:sz w:val="20"/>
              </w:rPr>
            </w:pPr>
            <w:r>
              <w:rPr>
                <w:b/>
                <w:color w:val="FFFFFF"/>
                <w:sz w:val="20"/>
              </w:rPr>
              <w:t># de la Acción del Año Pasado</w:t>
            </w:r>
          </w:p>
        </w:tc>
        <w:tc>
          <w:tcPr>
            <w:tcW w:w="3568" w:type="dxa"/>
            <w:tcBorders>
              <w:top w:val="nil"/>
            </w:tcBorders>
            <w:shd w:val="clear" w:color="auto" w:fill="1F4E79"/>
          </w:tcPr>
          <w:p>
            <w:pPr>
              <w:pStyle w:val="TableParagraph"/>
              <w:rPr>
                <w:sz w:val="25"/>
              </w:rPr>
            </w:pPr>
          </w:p>
          <w:p>
            <w:pPr>
              <w:pStyle w:val="TableParagraph"/>
              <w:ind w:left="256"/>
              <w:rPr>
                <w:b/>
                <w:sz w:val="20"/>
              </w:rPr>
            </w:pPr>
            <w:r>
              <w:rPr>
                <w:b/>
                <w:color w:val="FFFFFF"/>
                <w:sz w:val="20"/>
              </w:rPr>
              <w:t>Previa Acción/Título de Servicio</w:t>
            </w:r>
          </w:p>
        </w:tc>
        <w:tc>
          <w:tcPr>
            <w:tcW w:w="2301" w:type="dxa"/>
            <w:tcBorders>
              <w:top w:val="nil"/>
            </w:tcBorders>
            <w:shd w:val="clear" w:color="auto" w:fill="1F4E79"/>
          </w:tcPr>
          <w:p>
            <w:pPr>
              <w:pStyle w:val="TableParagraph"/>
              <w:spacing w:before="173"/>
              <w:ind w:left="400" w:right="48" w:hanging="345"/>
              <w:rPr>
                <w:b/>
                <w:sz w:val="20"/>
              </w:rPr>
            </w:pPr>
            <w:r>
              <w:rPr>
                <w:b/>
                <w:color w:val="FFFFFF"/>
                <w:sz w:val="20"/>
              </w:rPr>
              <w:t>¿Contribuyó a Mayor o Mejor Servicio?</w:t>
            </w:r>
          </w:p>
        </w:tc>
        <w:tc>
          <w:tcPr>
            <w:tcW w:w="3477" w:type="dxa"/>
            <w:tcBorders>
              <w:top w:val="nil"/>
            </w:tcBorders>
            <w:shd w:val="clear" w:color="auto" w:fill="1F4E79"/>
          </w:tcPr>
          <w:p>
            <w:pPr>
              <w:pStyle w:val="TableParagraph"/>
              <w:spacing w:before="173"/>
              <w:ind w:left="1377" w:right="51" w:hanging="1317"/>
              <w:rPr>
                <w:b/>
                <w:sz w:val="20"/>
              </w:rPr>
            </w:pPr>
            <w:r>
              <w:rPr>
                <w:b/>
                <w:color w:val="FFFFFF"/>
                <w:sz w:val="20"/>
              </w:rPr>
              <w:t>Total de Gastos Planeados del Año Pasado</w:t>
            </w:r>
          </w:p>
        </w:tc>
        <w:tc>
          <w:tcPr>
            <w:tcW w:w="2884" w:type="dxa"/>
            <w:tcBorders>
              <w:top w:val="nil"/>
              <w:right w:val="nil"/>
            </w:tcBorders>
            <w:shd w:val="clear" w:color="auto" w:fill="1F4E79"/>
          </w:tcPr>
          <w:p>
            <w:pPr>
              <w:pStyle w:val="TableParagraph"/>
              <w:spacing w:before="173"/>
              <w:ind w:left="1022" w:right="141" w:hanging="867"/>
              <w:rPr>
                <w:b/>
                <w:sz w:val="20"/>
              </w:rPr>
            </w:pPr>
            <w:r>
              <w:rPr>
                <w:b/>
                <w:color w:val="FFFFFF"/>
                <w:sz w:val="20"/>
              </w:rPr>
              <w:t>Total de Estimados Gastos Actuales</w:t>
            </w:r>
          </w:p>
        </w:tc>
      </w:tr>
      <w:tr>
        <w:trPr>
          <w:trHeight w:val="277" w:hRule="atLeast"/>
        </w:trPr>
        <w:tc>
          <w:tcPr>
            <w:tcW w:w="1432" w:type="dxa"/>
            <w:tcBorders>
              <w:left w:val="nil"/>
              <w:bottom w:val="nil"/>
            </w:tcBorders>
            <w:shd w:val="clear" w:color="auto" w:fill="BDD7EE"/>
          </w:tcPr>
          <w:p>
            <w:pPr>
              <w:pStyle w:val="TableParagraph"/>
              <w:rPr>
                <w:rFonts w:ascii="Times New Roman"/>
                <w:sz w:val="20"/>
              </w:rPr>
            </w:pPr>
          </w:p>
        </w:tc>
        <w:tc>
          <w:tcPr>
            <w:tcW w:w="1438" w:type="dxa"/>
            <w:tcBorders>
              <w:bottom w:val="nil"/>
            </w:tcBorders>
            <w:shd w:val="clear" w:color="auto" w:fill="BDD7EE"/>
          </w:tcPr>
          <w:p>
            <w:pPr>
              <w:pStyle w:val="TableParagraph"/>
              <w:rPr>
                <w:rFonts w:ascii="Times New Roman"/>
                <w:sz w:val="20"/>
              </w:rPr>
            </w:pPr>
          </w:p>
        </w:tc>
        <w:tc>
          <w:tcPr>
            <w:tcW w:w="3568" w:type="dxa"/>
            <w:tcBorders>
              <w:bottom w:val="nil"/>
            </w:tcBorders>
            <w:shd w:val="clear" w:color="auto" w:fill="BDD7EE"/>
          </w:tcPr>
          <w:p>
            <w:pPr>
              <w:pStyle w:val="TableParagraph"/>
              <w:rPr>
                <w:rFonts w:ascii="Times New Roman"/>
                <w:sz w:val="20"/>
              </w:rPr>
            </w:pPr>
          </w:p>
        </w:tc>
        <w:tc>
          <w:tcPr>
            <w:tcW w:w="2301" w:type="dxa"/>
            <w:tcBorders>
              <w:bottom w:val="nil"/>
            </w:tcBorders>
            <w:shd w:val="clear" w:color="auto" w:fill="BDD7EE"/>
          </w:tcPr>
          <w:p>
            <w:pPr>
              <w:pStyle w:val="TableParagraph"/>
              <w:rPr>
                <w:rFonts w:ascii="Times New Roman"/>
                <w:sz w:val="20"/>
              </w:rPr>
            </w:pPr>
          </w:p>
        </w:tc>
        <w:tc>
          <w:tcPr>
            <w:tcW w:w="3477" w:type="dxa"/>
            <w:tcBorders>
              <w:bottom w:val="nil"/>
            </w:tcBorders>
            <w:shd w:val="clear" w:color="auto" w:fill="BDD7EE"/>
          </w:tcPr>
          <w:p>
            <w:pPr>
              <w:pStyle w:val="TableParagraph"/>
              <w:rPr>
                <w:rFonts w:ascii="Times New Roman"/>
                <w:sz w:val="20"/>
              </w:rPr>
            </w:pPr>
          </w:p>
        </w:tc>
        <w:tc>
          <w:tcPr>
            <w:tcW w:w="2884" w:type="dxa"/>
            <w:tcBorders>
              <w:bottom w:val="nil"/>
              <w:right w:val="nil"/>
            </w:tcBorders>
            <w:shd w:val="clear" w:color="auto" w:fill="BDD7EE"/>
          </w:tcPr>
          <w:p>
            <w:pPr>
              <w:pStyle w:val="TableParagraph"/>
              <w:rPr>
                <w:rFonts w:ascii="Times New Roman"/>
                <w:sz w:val="20"/>
              </w:rPr>
            </w:pPr>
          </w:p>
        </w:tc>
      </w:tr>
    </w:tbl>
    <w:p>
      <w:pPr>
        <w:pStyle w:val="BodyText"/>
        <w:spacing w:before="8"/>
        <w:rPr>
          <w:sz w:val="21"/>
        </w:rPr>
      </w:pPr>
    </w:p>
    <w:tbl>
      <w:tblPr>
        <w:tblCellSpacing w:w="4" w:type="dxa"/>
        <w:tblW w:w="0" w:type="auto"/>
        <w:jc w:val="left"/>
        <w:tblInd w:w="72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691"/>
        <w:gridCol w:w="3617"/>
        <w:gridCol w:w="2847"/>
      </w:tblGrid>
      <w:tr>
        <w:trPr>
          <w:trHeight w:val="407" w:hRule="atLeast"/>
        </w:trPr>
        <w:tc>
          <w:tcPr>
            <w:tcW w:w="1691" w:type="dxa"/>
            <w:tcBorders>
              <w:top w:val="nil"/>
              <w:left w:val="nil"/>
            </w:tcBorders>
            <w:shd w:val="clear" w:color="auto" w:fill="1F4E79"/>
          </w:tcPr>
          <w:p>
            <w:pPr>
              <w:pStyle w:val="TableParagraph"/>
              <w:spacing w:before="123"/>
              <w:ind w:left="459"/>
              <w:rPr>
                <w:b/>
                <w:sz w:val="20"/>
              </w:rPr>
            </w:pPr>
            <w:r>
              <w:rPr>
                <w:b/>
                <w:color w:val="FFFFFF"/>
                <w:sz w:val="20"/>
              </w:rPr>
              <w:t>Totales:</w:t>
            </w:r>
          </w:p>
        </w:tc>
        <w:tc>
          <w:tcPr>
            <w:tcW w:w="3617" w:type="dxa"/>
            <w:tcBorders>
              <w:top w:val="nil"/>
            </w:tcBorders>
            <w:shd w:val="clear" w:color="auto" w:fill="1F4E79"/>
          </w:tcPr>
          <w:p>
            <w:pPr>
              <w:pStyle w:val="TableParagraph"/>
              <w:spacing w:before="123"/>
              <w:ind w:left="525"/>
              <w:rPr>
                <w:b/>
                <w:sz w:val="20"/>
              </w:rPr>
            </w:pPr>
            <w:r>
              <w:rPr>
                <w:b/>
                <w:color w:val="FFFFFF"/>
                <w:sz w:val="20"/>
              </w:rPr>
              <w:t>Total de Gastos Planeados</w:t>
            </w:r>
          </w:p>
        </w:tc>
        <w:tc>
          <w:tcPr>
            <w:tcW w:w="2847" w:type="dxa"/>
            <w:tcBorders>
              <w:top w:val="nil"/>
              <w:right w:val="nil"/>
            </w:tcBorders>
            <w:shd w:val="clear" w:color="auto" w:fill="1F4E79"/>
          </w:tcPr>
          <w:p>
            <w:pPr>
              <w:pStyle w:val="TableParagraph"/>
              <w:spacing w:before="123"/>
              <w:ind w:left="226"/>
              <w:rPr>
                <w:b/>
                <w:sz w:val="20"/>
              </w:rPr>
            </w:pPr>
            <w:r>
              <w:rPr>
                <w:b/>
                <w:color w:val="FFFFFF"/>
                <w:sz w:val="20"/>
              </w:rPr>
              <w:t>Total de Gastos Actuales</w:t>
            </w:r>
          </w:p>
        </w:tc>
      </w:tr>
      <w:tr>
        <w:trPr>
          <w:trHeight w:val="407" w:hRule="atLeast"/>
        </w:trPr>
        <w:tc>
          <w:tcPr>
            <w:tcW w:w="1691" w:type="dxa"/>
            <w:tcBorders>
              <w:left w:val="nil"/>
              <w:bottom w:val="nil"/>
            </w:tcBorders>
            <w:shd w:val="clear" w:color="auto" w:fill="BDD7EE"/>
          </w:tcPr>
          <w:p>
            <w:pPr>
              <w:pStyle w:val="TableParagraph"/>
              <w:spacing w:before="123"/>
              <w:ind w:left="487"/>
              <w:rPr>
                <w:sz w:val="20"/>
              </w:rPr>
            </w:pPr>
            <w:r>
              <w:rPr>
                <w:sz w:val="20"/>
              </w:rPr>
              <w:t>Totales:</w:t>
            </w:r>
          </w:p>
        </w:tc>
        <w:tc>
          <w:tcPr>
            <w:tcW w:w="3617" w:type="dxa"/>
            <w:tcBorders>
              <w:bottom w:val="nil"/>
            </w:tcBorders>
            <w:shd w:val="clear" w:color="auto" w:fill="BDD7EE"/>
          </w:tcPr>
          <w:p>
            <w:pPr>
              <w:pStyle w:val="TableParagraph"/>
              <w:rPr>
                <w:rFonts w:ascii="Times New Roman"/>
                <w:sz w:val="20"/>
              </w:rPr>
            </w:pPr>
          </w:p>
        </w:tc>
        <w:tc>
          <w:tcPr>
            <w:tcW w:w="2847" w:type="dxa"/>
            <w:tcBorders>
              <w:bottom w:val="nil"/>
              <w:right w:val="nil"/>
            </w:tcBorders>
            <w:shd w:val="clear" w:color="auto" w:fill="BDD7EE"/>
          </w:tcPr>
          <w:p>
            <w:pPr>
              <w:pStyle w:val="TableParagraph"/>
              <w:rPr>
                <w:rFonts w:ascii="Times New Roman"/>
                <w:sz w:val="20"/>
              </w:rPr>
            </w:pPr>
          </w:p>
        </w:tc>
      </w:tr>
    </w:tbl>
    <w:p>
      <w:pPr>
        <w:spacing w:after="0"/>
        <w:rPr>
          <w:rFonts w:ascii="Times New Roman"/>
          <w:sz w:val="20"/>
        </w:rPr>
        <w:sectPr>
          <w:pgSz w:w="15840" w:h="12240" w:orient="landscape"/>
          <w:pgMar w:header="0" w:footer="284" w:top="840" w:bottom="560" w:left="120" w:right="120"/>
        </w:sectPr>
      </w:pPr>
    </w:p>
    <w:p>
      <w:pPr>
        <w:pStyle w:val="BodyText"/>
        <w:rPr>
          <w:sz w:val="20"/>
        </w:rPr>
      </w:pPr>
    </w:p>
    <w:p>
      <w:pPr>
        <w:pStyle w:val="BodyText"/>
        <w:spacing w:before="4"/>
        <w:rPr>
          <w:sz w:val="26"/>
        </w:rPr>
      </w:pPr>
    </w:p>
    <w:p>
      <w:pPr>
        <w:pStyle w:val="BodyText"/>
        <w:spacing w:before="93"/>
        <w:ind w:left="240"/>
      </w:pPr>
      <w:r>
        <w:rPr/>
        <w:pict>
          <v:shape style="position:absolute;margin-left:11.425pt;margin-top:-26.72312pt;width:769.15pt;height:27.25pt;mso-position-horizontal-relative:page;mso-position-vertical-relative:paragraph;z-index:251726848" type="#_x0000_t202" filled="true" fillcolor="#dbe5f1" stroked="true" strokeweight="2.25pt" strokecolor="#000000">
            <v:textbox inset="0,0,0,0">
              <w:txbxContent>
                <w:p>
                  <w:pPr>
                    <w:spacing w:before="20"/>
                    <w:ind w:left="108" w:right="0" w:firstLine="0"/>
                    <w:jc w:val="left"/>
                    <w:rPr>
                      <w:b/>
                      <w:sz w:val="40"/>
                    </w:rPr>
                  </w:pPr>
                  <w:r>
                    <w:rPr>
                      <w:b/>
                      <w:sz w:val="40"/>
                    </w:rPr>
                    <w:t>Instrucciones</w:t>
                  </w:r>
                </w:p>
              </w:txbxContent>
            </v:textbox>
            <v:fill type="solid"/>
            <v:stroke dashstyle="solid"/>
            <w10:wrap type="none"/>
          </v:shape>
        </w:pict>
      </w:r>
      <w:bookmarkStart w:name="Instrucciones" w:id="42"/>
      <w:bookmarkEnd w:id="42"/>
      <w:r>
        <w:rPr/>
      </w:r>
      <w:hyperlink r:id="rId26">
        <w:r>
          <w:rPr>
            <w:color w:val="0000FF"/>
            <w:u w:val="single" w:color="0000FF"/>
          </w:rPr>
          <w:t>Resumen del Plan</w:t>
        </w:r>
      </w:hyperlink>
    </w:p>
    <w:p>
      <w:pPr>
        <w:pStyle w:val="BodyText"/>
        <w:spacing w:line="379" w:lineRule="auto" w:before="160"/>
        <w:ind w:left="240" w:right="11831"/>
      </w:pPr>
      <w:hyperlink r:id="rId27">
        <w:r>
          <w:rPr>
            <w:color w:val="0000FF"/>
            <w:u w:val="single" w:color="0000FF"/>
          </w:rPr>
          <w:t>Participación de los Involucrados</w:t>
        </w:r>
      </w:hyperlink>
      <w:r>
        <w:rPr>
          <w:color w:val="0000FF"/>
        </w:rPr>
        <w:t> </w:t>
      </w:r>
      <w:hyperlink r:id="rId28">
        <w:r>
          <w:rPr>
            <w:color w:val="0000FF"/>
            <w:u w:val="single" w:color="0000FF"/>
          </w:rPr>
          <w:t>Metas y Acciones</w:t>
        </w:r>
      </w:hyperlink>
    </w:p>
    <w:p>
      <w:pPr>
        <w:pStyle w:val="BodyText"/>
        <w:ind w:left="240"/>
      </w:pPr>
      <w:hyperlink r:id="rId29">
        <w:r>
          <w:rPr>
            <w:color w:val="0000FF"/>
            <w:u w:val="single" w:color="0000FF"/>
          </w:rPr>
          <w:t>Aumento o Mejoramiento de Servicios para los Jóvenes de Crianza Temporal, Estudiantes del Inglés y Alumnos de Escasos Recursos</w:t>
        </w:r>
      </w:hyperlink>
    </w:p>
    <w:p>
      <w:pPr>
        <w:spacing w:before="160"/>
        <w:ind w:left="240" w:right="745" w:firstLine="0"/>
        <w:jc w:val="left"/>
        <w:rPr>
          <w:i/>
          <w:sz w:val="24"/>
        </w:rPr>
      </w:pPr>
      <w:r>
        <w:rPr>
          <w:i/>
          <w:sz w:val="24"/>
        </w:rPr>
        <w:t>Para preguntas adicionales o ayuda técnica relacionada al cumplimiento de la plantilla LCAP, favor de comunicarse con el COE local o la </w:t>
      </w:r>
      <w:r>
        <w:rPr>
          <w:i/>
          <w:sz w:val="24"/>
        </w:rPr>
        <w:t>Oficina de Apoyo para los Sistemas de Agencia Local del Departamento de Educación de California (CDE, por sus siglas en inglés) por teléfono al 916-319-0809 o por correo electrónico en </w:t>
      </w:r>
      <w:hyperlink r:id="rId30">
        <w:r>
          <w:rPr>
            <w:i/>
            <w:color w:val="0000FF"/>
            <w:sz w:val="24"/>
            <w:u w:val="single" w:color="0000FF"/>
          </w:rPr>
          <w:t>lcff@cde.ca.gov</w:t>
        </w:r>
      </w:hyperlink>
      <w:r>
        <w:rPr>
          <w:i/>
          <w:sz w:val="24"/>
        </w:rPr>
        <w:t>.</w:t>
      </w:r>
    </w:p>
    <w:p>
      <w:pPr>
        <w:pStyle w:val="BodyText"/>
        <w:spacing w:before="10"/>
        <w:rPr>
          <w:i/>
          <w:sz w:val="13"/>
        </w:rPr>
      </w:pPr>
      <w:r>
        <w:rPr/>
        <w:pict>
          <v:shape style="position:absolute;margin-left:11.425pt;margin-top:11.118812pt;width:769.15pt;height:27.25pt;mso-position-horizontal-relative:page;mso-position-vertical-relative:paragraph;z-index:-251590656;mso-wrap-distance-left:0;mso-wrap-distance-right:0" type="#_x0000_t202" filled="true" fillcolor="#dbe5f1" stroked="true" strokeweight="2.25pt" strokecolor="#000000">
            <v:textbox inset="0,0,0,0">
              <w:txbxContent>
                <w:p>
                  <w:pPr>
                    <w:spacing w:before="20"/>
                    <w:ind w:left="108" w:right="0" w:firstLine="0"/>
                    <w:jc w:val="left"/>
                    <w:rPr>
                      <w:b/>
                      <w:sz w:val="40"/>
                    </w:rPr>
                  </w:pPr>
                  <w:bookmarkStart w:name="Introducción e Instrucciones" w:id="43"/>
                  <w:bookmarkEnd w:id="43"/>
                  <w:r>
                    <w:rPr/>
                  </w:r>
                  <w:r>
                    <w:rPr>
                      <w:b/>
                      <w:sz w:val="40"/>
                    </w:rPr>
                    <w:t>Introducción e Instrucciones</w:t>
                  </w:r>
                </w:p>
              </w:txbxContent>
            </v:textbox>
            <v:fill type="solid"/>
            <v:stroke dashstyle="solid"/>
            <w10:wrap type="topAndBottom"/>
          </v:shape>
        </w:pict>
      </w:r>
    </w:p>
    <w:p>
      <w:pPr>
        <w:pStyle w:val="BodyText"/>
        <w:spacing w:before="30"/>
        <w:ind w:left="240" w:right="385"/>
      </w:pPr>
      <w:r>
        <w:rPr/>
        <w:t>La Fórmula de Financiamiento y Control Local (LCFF, por sus siglas en inglés) requiere que las LEA incluyan sus involucrados locales en un proceso anual de planificación para evaluar su progreso dentro de ocho áreas estatales de prioridad abarcando todas las medidas reglamentarias (los COE tienen diez prioridades estatales). Las LEA documentan los resultados de este proceso de planificación en el Plan de Contabilidad y Control Local (LCAP) usando la plantilla adoptada por el Consejo Educativo Estatal.</w:t>
      </w:r>
    </w:p>
    <w:p>
      <w:pPr>
        <w:pStyle w:val="BodyText"/>
        <w:spacing w:before="10"/>
        <w:rPr>
          <w:sz w:val="20"/>
        </w:rPr>
      </w:pPr>
    </w:p>
    <w:p>
      <w:pPr>
        <w:pStyle w:val="BodyText"/>
        <w:ind w:left="240"/>
      </w:pPr>
      <w:r>
        <w:rPr/>
        <w:t>El proceso de desarrollo del LCAP sirve para tres funciones distintas, pero relacionadas:</w:t>
      </w:r>
    </w:p>
    <w:p>
      <w:pPr>
        <w:pStyle w:val="BodyText"/>
        <w:spacing w:before="10"/>
        <w:rPr>
          <w:sz w:val="20"/>
        </w:rPr>
      </w:pPr>
    </w:p>
    <w:p>
      <w:pPr>
        <w:pStyle w:val="ListParagraph"/>
        <w:numPr>
          <w:ilvl w:val="2"/>
          <w:numId w:val="2"/>
        </w:numPr>
        <w:tabs>
          <w:tab w:pos="959" w:val="left" w:leader="none"/>
          <w:tab w:pos="960" w:val="left" w:leader="none"/>
        </w:tabs>
        <w:spacing w:line="240" w:lineRule="auto" w:before="0" w:after="0"/>
        <w:ind w:left="960" w:right="368" w:hanging="360"/>
        <w:jc w:val="left"/>
        <w:rPr>
          <w:rFonts w:ascii="Symbol" w:hAnsi="Symbol"/>
          <w:sz w:val="22"/>
        </w:rPr>
      </w:pPr>
      <w:r>
        <w:rPr>
          <w:b/>
          <w:sz w:val="22"/>
        </w:rPr>
        <w:t>Comprensiva</w:t>
      </w:r>
      <w:r>
        <w:rPr>
          <w:b/>
          <w:spacing w:val="-5"/>
          <w:sz w:val="22"/>
        </w:rPr>
        <w:t> </w:t>
      </w:r>
      <w:r>
        <w:rPr>
          <w:b/>
          <w:sz w:val="22"/>
        </w:rPr>
        <w:t>Planificación</w:t>
      </w:r>
      <w:r>
        <w:rPr>
          <w:b/>
          <w:spacing w:val="-5"/>
          <w:sz w:val="22"/>
        </w:rPr>
        <w:t> </w:t>
      </w:r>
      <w:r>
        <w:rPr>
          <w:b/>
          <w:sz w:val="22"/>
        </w:rPr>
        <w:t>Estratégica:</w:t>
      </w:r>
      <w:r>
        <w:rPr>
          <w:b/>
          <w:spacing w:val="-5"/>
          <w:sz w:val="22"/>
        </w:rPr>
        <w:t> </w:t>
      </w:r>
      <w:r>
        <w:rPr>
          <w:sz w:val="22"/>
        </w:rPr>
        <w:t>El</w:t>
      </w:r>
      <w:r>
        <w:rPr>
          <w:spacing w:val="-5"/>
          <w:sz w:val="22"/>
        </w:rPr>
        <w:t> </w:t>
      </w:r>
      <w:r>
        <w:rPr>
          <w:sz w:val="22"/>
        </w:rPr>
        <w:t>proceso</w:t>
      </w:r>
      <w:r>
        <w:rPr>
          <w:spacing w:val="-5"/>
          <w:sz w:val="22"/>
        </w:rPr>
        <w:t> </w:t>
      </w:r>
      <w:r>
        <w:rPr>
          <w:sz w:val="22"/>
        </w:rPr>
        <w:t>de</w:t>
      </w:r>
      <w:r>
        <w:rPr>
          <w:spacing w:val="-4"/>
          <w:sz w:val="22"/>
        </w:rPr>
        <w:t> </w:t>
      </w:r>
      <w:r>
        <w:rPr>
          <w:sz w:val="22"/>
        </w:rPr>
        <w:t>desarrollar</w:t>
      </w:r>
      <w:r>
        <w:rPr>
          <w:spacing w:val="-5"/>
          <w:sz w:val="22"/>
        </w:rPr>
        <w:t> </w:t>
      </w:r>
      <w:r>
        <w:rPr>
          <w:sz w:val="22"/>
        </w:rPr>
        <w:t>y</w:t>
      </w:r>
      <w:r>
        <w:rPr>
          <w:spacing w:val="-5"/>
          <w:sz w:val="22"/>
        </w:rPr>
        <w:t> </w:t>
      </w:r>
      <w:r>
        <w:rPr>
          <w:sz w:val="22"/>
        </w:rPr>
        <w:t>anualmente</w:t>
      </w:r>
      <w:r>
        <w:rPr>
          <w:spacing w:val="-4"/>
          <w:sz w:val="22"/>
        </w:rPr>
        <w:t> </w:t>
      </w:r>
      <w:r>
        <w:rPr>
          <w:sz w:val="22"/>
        </w:rPr>
        <w:t>actualizar</w:t>
      </w:r>
      <w:r>
        <w:rPr>
          <w:spacing w:val="-5"/>
          <w:sz w:val="22"/>
        </w:rPr>
        <w:t> </w:t>
      </w:r>
      <w:r>
        <w:rPr>
          <w:sz w:val="22"/>
        </w:rPr>
        <w:t>el</w:t>
      </w:r>
      <w:r>
        <w:rPr>
          <w:spacing w:val="-5"/>
          <w:sz w:val="22"/>
        </w:rPr>
        <w:t> </w:t>
      </w:r>
      <w:r>
        <w:rPr>
          <w:sz w:val="22"/>
        </w:rPr>
        <w:t>LCAP</w:t>
      </w:r>
      <w:r>
        <w:rPr>
          <w:spacing w:val="-4"/>
          <w:sz w:val="22"/>
        </w:rPr>
        <w:t> </w:t>
      </w:r>
      <w:r>
        <w:rPr>
          <w:sz w:val="22"/>
        </w:rPr>
        <w:t>apoya</w:t>
      </w:r>
      <w:r>
        <w:rPr>
          <w:spacing w:val="-5"/>
          <w:sz w:val="22"/>
        </w:rPr>
        <w:t> </w:t>
      </w:r>
      <w:r>
        <w:rPr>
          <w:sz w:val="22"/>
        </w:rPr>
        <w:t>comprensiva</w:t>
      </w:r>
      <w:r>
        <w:rPr>
          <w:spacing w:val="-6"/>
          <w:sz w:val="22"/>
        </w:rPr>
        <w:t> </w:t>
      </w:r>
      <w:r>
        <w:rPr>
          <w:sz w:val="22"/>
        </w:rPr>
        <w:t>planificación</w:t>
      </w:r>
      <w:r>
        <w:rPr>
          <w:spacing w:val="-4"/>
          <w:sz w:val="22"/>
        </w:rPr>
        <w:t> </w:t>
      </w:r>
      <w:r>
        <w:rPr>
          <w:sz w:val="22"/>
        </w:rPr>
        <w:t>estratégica (</w:t>
      </w:r>
      <w:r>
        <w:rPr>
          <w:i/>
          <w:sz w:val="22"/>
        </w:rPr>
        <w:t>Código Educativo </w:t>
      </w:r>
      <w:r>
        <w:rPr>
          <w:sz w:val="22"/>
        </w:rPr>
        <w:t>[</w:t>
      </w:r>
      <w:r>
        <w:rPr>
          <w:i/>
          <w:sz w:val="22"/>
        </w:rPr>
        <w:t>EC</w:t>
      </w:r>
      <w:r>
        <w:rPr>
          <w:sz w:val="22"/>
        </w:rPr>
        <w:t>, por sus siglas en inglés] de California 52064(e)(1)). Planificación estratégica que es comprensiva conecta decisiones presupuestarias a los datos de enseñanza y desempeño de aprendizaje. Las agencias educativas locales (LEA, por sus siglas en inglés) debe continuamente evaluar las opciones difíciles que toman sobre el uso de recursos limitados para cumplir las necesidades estudiantiles y comunitarias para garantizar que oportunidades y resultados mejoren para todos los</w:t>
      </w:r>
      <w:r>
        <w:rPr>
          <w:spacing w:val="-10"/>
          <w:sz w:val="22"/>
        </w:rPr>
        <w:t> </w:t>
      </w:r>
      <w:r>
        <w:rPr>
          <w:sz w:val="22"/>
        </w:rPr>
        <w:t>alumnos.</w:t>
      </w:r>
    </w:p>
    <w:p>
      <w:pPr>
        <w:pStyle w:val="ListParagraph"/>
        <w:numPr>
          <w:ilvl w:val="2"/>
          <w:numId w:val="2"/>
        </w:numPr>
        <w:tabs>
          <w:tab w:pos="959" w:val="left" w:leader="none"/>
          <w:tab w:pos="960" w:val="left" w:leader="none"/>
        </w:tabs>
        <w:spacing w:line="240" w:lineRule="auto" w:before="0" w:after="0"/>
        <w:ind w:left="960" w:right="465" w:hanging="360"/>
        <w:jc w:val="left"/>
        <w:rPr>
          <w:rFonts w:ascii="Symbol" w:hAnsi="Symbol"/>
          <w:sz w:val="22"/>
        </w:rPr>
      </w:pPr>
      <w:r>
        <w:rPr>
          <w:b/>
          <w:sz w:val="22"/>
        </w:rPr>
        <w:t>Participación Significativa de los Involucrados: </w:t>
      </w:r>
      <w:r>
        <w:rPr>
          <w:sz w:val="22"/>
        </w:rPr>
        <w:t>El proceso de desarrollo del LCAP debe resultar en un LCAP que refleja decisiones tomadas mediante</w:t>
      </w:r>
      <w:r>
        <w:rPr>
          <w:spacing w:val="-5"/>
          <w:sz w:val="22"/>
        </w:rPr>
        <w:t> </w:t>
      </w:r>
      <w:r>
        <w:rPr>
          <w:sz w:val="22"/>
        </w:rPr>
        <w:t>participación</w:t>
      </w:r>
      <w:r>
        <w:rPr>
          <w:spacing w:val="-4"/>
          <w:sz w:val="22"/>
        </w:rPr>
        <w:t> </w:t>
      </w:r>
      <w:r>
        <w:rPr>
          <w:sz w:val="22"/>
        </w:rPr>
        <w:t>significativa</w:t>
      </w:r>
      <w:r>
        <w:rPr>
          <w:spacing w:val="-5"/>
          <w:sz w:val="22"/>
        </w:rPr>
        <w:t> </w:t>
      </w:r>
      <w:r>
        <w:rPr>
          <w:sz w:val="22"/>
        </w:rPr>
        <w:t>de</w:t>
      </w:r>
      <w:r>
        <w:rPr>
          <w:spacing w:val="-4"/>
          <w:sz w:val="22"/>
        </w:rPr>
        <w:t> </w:t>
      </w:r>
      <w:r>
        <w:rPr>
          <w:sz w:val="22"/>
        </w:rPr>
        <w:t>los</w:t>
      </w:r>
      <w:r>
        <w:rPr>
          <w:spacing w:val="-4"/>
          <w:sz w:val="22"/>
        </w:rPr>
        <w:t> </w:t>
      </w:r>
      <w:r>
        <w:rPr>
          <w:sz w:val="22"/>
        </w:rPr>
        <w:t>involucrados</w:t>
      </w:r>
      <w:r>
        <w:rPr>
          <w:spacing w:val="-4"/>
          <w:sz w:val="22"/>
        </w:rPr>
        <w:t> </w:t>
      </w:r>
      <w:r>
        <w:rPr>
          <w:sz w:val="22"/>
        </w:rPr>
        <w:t>(</w:t>
      </w:r>
      <w:r>
        <w:rPr>
          <w:i/>
          <w:sz w:val="22"/>
        </w:rPr>
        <w:t>EC</w:t>
      </w:r>
      <w:r>
        <w:rPr>
          <w:i/>
          <w:spacing w:val="-5"/>
          <w:sz w:val="22"/>
        </w:rPr>
        <w:t> </w:t>
      </w:r>
      <w:r>
        <w:rPr>
          <w:sz w:val="22"/>
        </w:rPr>
        <w:t>52064(e)(1)).</w:t>
      </w:r>
      <w:r>
        <w:rPr>
          <w:spacing w:val="-4"/>
          <w:sz w:val="22"/>
        </w:rPr>
        <w:t> </w:t>
      </w:r>
      <w:r>
        <w:rPr>
          <w:sz w:val="22"/>
        </w:rPr>
        <w:t>Los</w:t>
      </w:r>
      <w:r>
        <w:rPr>
          <w:spacing w:val="-4"/>
          <w:sz w:val="22"/>
        </w:rPr>
        <w:t> </w:t>
      </w:r>
      <w:r>
        <w:rPr>
          <w:sz w:val="22"/>
        </w:rPr>
        <w:t>involucrados</w:t>
      </w:r>
      <w:r>
        <w:rPr>
          <w:spacing w:val="-4"/>
          <w:sz w:val="22"/>
        </w:rPr>
        <w:t> </w:t>
      </w:r>
      <w:r>
        <w:rPr>
          <w:sz w:val="22"/>
        </w:rPr>
        <w:t>locales</w:t>
      </w:r>
      <w:r>
        <w:rPr>
          <w:spacing w:val="-4"/>
          <w:sz w:val="22"/>
        </w:rPr>
        <w:t> </w:t>
      </w:r>
      <w:r>
        <w:rPr>
          <w:sz w:val="22"/>
        </w:rPr>
        <w:t>cuentan</w:t>
      </w:r>
      <w:r>
        <w:rPr>
          <w:spacing w:val="-4"/>
          <w:sz w:val="22"/>
        </w:rPr>
        <w:t> </w:t>
      </w:r>
      <w:r>
        <w:rPr>
          <w:sz w:val="22"/>
        </w:rPr>
        <w:t>con</w:t>
      </w:r>
      <w:r>
        <w:rPr>
          <w:spacing w:val="-4"/>
          <w:sz w:val="22"/>
        </w:rPr>
        <w:t> </w:t>
      </w:r>
      <w:r>
        <w:rPr>
          <w:sz w:val="22"/>
        </w:rPr>
        <w:t>valiosas</w:t>
      </w:r>
      <w:r>
        <w:rPr>
          <w:spacing w:val="-5"/>
          <w:sz w:val="22"/>
        </w:rPr>
        <w:t> </w:t>
      </w:r>
      <w:r>
        <w:rPr>
          <w:sz w:val="22"/>
        </w:rPr>
        <w:t>perspectivas</w:t>
      </w:r>
      <w:r>
        <w:rPr>
          <w:spacing w:val="-4"/>
          <w:sz w:val="22"/>
        </w:rPr>
        <w:t> </w:t>
      </w:r>
      <w:r>
        <w:rPr>
          <w:sz w:val="22"/>
        </w:rPr>
        <w:t>y</w:t>
      </w:r>
      <w:r>
        <w:rPr>
          <w:spacing w:val="-4"/>
          <w:sz w:val="22"/>
        </w:rPr>
        <w:t> </w:t>
      </w:r>
      <w:r>
        <w:rPr>
          <w:sz w:val="22"/>
        </w:rPr>
        <w:t>opiniones sobre los programas y servicios de un LEA. Efectiva planificación estratégica incorporará estas perspectivas y opiniones a fin de identificar potenciales metas y acciones por incluirse en el</w:t>
      </w:r>
      <w:r>
        <w:rPr>
          <w:spacing w:val="-2"/>
          <w:sz w:val="22"/>
        </w:rPr>
        <w:t> </w:t>
      </w:r>
      <w:r>
        <w:rPr>
          <w:sz w:val="22"/>
        </w:rPr>
        <w:t>LCAP:</w:t>
      </w:r>
    </w:p>
    <w:p>
      <w:pPr>
        <w:pStyle w:val="ListParagraph"/>
        <w:numPr>
          <w:ilvl w:val="2"/>
          <w:numId w:val="2"/>
        </w:numPr>
        <w:tabs>
          <w:tab w:pos="959" w:val="left" w:leader="none"/>
          <w:tab w:pos="960" w:val="left" w:leader="none"/>
        </w:tabs>
        <w:spacing w:line="240" w:lineRule="auto" w:before="0" w:after="0"/>
        <w:ind w:left="960" w:right="245" w:hanging="360"/>
        <w:jc w:val="left"/>
        <w:rPr>
          <w:rFonts w:ascii="Symbol" w:hAnsi="Symbol"/>
          <w:sz w:val="22"/>
        </w:rPr>
      </w:pPr>
      <w:r>
        <w:rPr>
          <w:b/>
          <w:sz w:val="22"/>
        </w:rPr>
        <w:t>Contabilidad y Cumplimiento: </w:t>
      </w:r>
      <w:r>
        <w:rPr>
          <w:sz w:val="22"/>
        </w:rPr>
        <w:t>El LCAP sirve una función importante de contabilidad debido a que aspectos de la plantilla LCAP requieren que los LEA muestren que han cumplido con varios requisitos especificados en los reglamentos y las regulaciones del LCFF,</w:t>
      </w:r>
      <w:r>
        <w:rPr>
          <w:spacing w:val="-22"/>
          <w:sz w:val="22"/>
        </w:rPr>
        <w:t> </w:t>
      </w:r>
      <w:r>
        <w:rPr>
          <w:sz w:val="22"/>
        </w:rPr>
        <w:t>notablemente:</w:t>
      </w:r>
    </w:p>
    <w:p>
      <w:pPr>
        <w:pStyle w:val="ListParagraph"/>
        <w:numPr>
          <w:ilvl w:val="3"/>
          <w:numId w:val="2"/>
        </w:numPr>
        <w:tabs>
          <w:tab w:pos="1679" w:val="left" w:leader="none"/>
          <w:tab w:pos="1680" w:val="left" w:leader="none"/>
        </w:tabs>
        <w:spacing w:line="223" w:lineRule="auto" w:before="8" w:after="0"/>
        <w:ind w:left="1680" w:right="343" w:hanging="360"/>
        <w:jc w:val="left"/>
        <w:rPr>
          <w:rFonts w:ascii="Courier New" w:hAnsi="Courier New"/>
          <w:sz w:val="22"/>
        </w:rPr>
      </w:pPr>
      <w:r>
        <w:rPr>
          <w:sz w:val="22"/>
        </w:rPr>
        <w:t>Demostrando que los LEA están aumentando o mejorando servicios para jóvenes de crianza temporal, estudiantes del inglés y alumnos de bajos</w:t>
      </w:r>
      <w:r>
        <w:rPr>
          <w:spacing w:val="-4"/>
          <w:sz w:val="22"/>
        </w:rPr>
        <w:t> </w:t>
      </w:r>
      <w:r>
        <w:rPr>
          <w:sz w:val="22"/>
        </w:rPr>
        <w:t>ingresos</w:t>
      </w:r>
      <w:r>
        <w:rPr>
          <w:spacing w:val="-3"/>
          <w:sz w:val="22"/>
        </w:rPr>
        <w:t> </w:t>
      </w:r>
      <w:r>
        <w:rPr>
          <w:sz w:val="22"/>
        </w:rPr>
        <w:t>en</w:t>
      </w:r>
      <w:r>
        <w:rPr>
          <w:spacing w:val="-2"/>
          <w:sz w:val="22"/>
        </w:rPr>
        <w:t> </w:t>
      </w:r>
      <w:r>
        <w:rPr>
          <w:sz w:val="22"/>
        </w:rPr>
        <w:t>proporción</w:t>
      </w:r>
      <w:r>
        <w:rPr>
          <w:spacing w:val="-3"/>
          <w:sz w:val="22"/>
        </w:rPr>
        <w:t> </w:t>
      </w:r>
      <w:r>
        <w:rPr>
          <w:sz w:val="22"/>
        </w:rPr>
        <w:t>a</w:t>
      </w:r>
      <w:r>
        <w:rPr>
          <w:spacing w:val="-2"/>
          <w:sz w:val="22"/>
        </w:rPr>
        <w:t> </w:t>
      </w:r>
      <w:r>
        <w:rPr>
          <w:sz w:val="22"/>
        </w:rPr>
        <w:t>la</w:t>
      </w:r>
      <w:r>
        <w:rPr>
          <w:spacing w:val="-2"/>
          <w:sz w:val="22"/>
        </w:rPr>
        <w:t> </w:t>
      </w:r>
      <w:r>
        <w:rPr>
          <w:sz w:val="22"/>
        </w:rPr>
        <w:t>cantidad</w:t>
      </w:r>
      <w:r>
        <w:rPr>
          <w:spacing w:val="-3"/>
          <w:sz w:val="22"/>
        </w:rPr>
        <w:t> </w:t>
      </w:r>
      <w:r>
        <w:rPr>
          <w:sz w:val="22"/>
        </w:rPr>
        <w:t>de</w:t>
      </w:r>
      <w:r>
        <w:rPr>
          <w:spacing w:val="-2"/>
          <w:sz w:val="22"/>
        </w:rPr>
        <w:t> </w:t>
      </w:r>
      <w:r>
        <w:rPr>
          <w:sz w:val="22"/>
        </w:rPr>
        <w:t>financiamiento</w:t>
      </w:r>
      <w:r>
        <w:rPr>
          <w:spacing w:val="-3"/>
          <w:sz w:val="22"/>
        </w:rPr>
        <w:t> </w:t>
      </w:r>
      <w:r>
        <w:rPr>
          <w:sz w:val="22"/>
        </w:rPr>
        <w:t>adicional</w:t>
      </w:r>
      <w:r>
        <w:rPr>
          <w:spacing w:val="-2"/>
          <w:sz w:val="22"/>
        </w:rPr>
        <w:t> </w:t>
      </w:r>
      <w:r>
        <w:rPr>
          <w:sz w:val="22"/>
        </w:rPr>
        <w:t>que</w:t>
      </w:r>
      <w:r>
        <w:rPr>
          <w:spacing w:val="-2"/>
          <w:sz w:val="22"/>
        </w:rPr>
        <w:t> </w:t>
      </w:r>
      <w:r>
        <w:rPr>
          <w:sz w:val="22"/>
        </w:rPr>
        <w:t>generan</w:t>
      </w:r>
      <w:r>
        <w:rPr>
          <w:spacing w:val="-3"/>
          <w:sz w:val="22"/>
        </w:rPr>
        <w:t> </w:t>
      </w:r>
      <w:r>
        <w:rPr>
          <w:sz w:val="22"/>
        </w:rPr>
        <w:t>estos</w:t>
      </w:r>
      <w:r>
        <w:rPr>
          <w:spacing w:val="-2"/>
          <w:sz w:val="22"/>
        </w:rPr>
        <w:t> </w:t>
      </w:r>
      <w:r>
        <w:rPr>
          <w:sz w:val="22"/>
        </w:rPr>
        <w:t>alumnos</w:t>
      </w:r>
      <w:r>
        <w:rPr>
          <w:spacing w:val="-4"/>
          <w:sz w:val="22"/>
        </w:rPr>
        <w:t> </w:t>
      </w:r>
      <w:r>
        <w:rPr>
          <w:sz w:val="22"/>
        </w:rPr>
        <w:t>bajo</w:t>
      </w:r>
      <w:r>
        <w:rPr>
          <w:spacing w:val="-2"/>
          <w:sz w:val="22"/>
        </w:rPr>
        <w:t> </w:t>
      </w:r>
      <w:r>
        <w:rPr>
          <w:sz w:val="22"/>
        </w:rPr>
        <w:t>el</w:t>
      </w:r>
      <w:r>
        <w:rPr>
          <w:spacing w:val="-2"/>
          <w:sz w:val="22"/>
        </w:rPr>
        <w:t> </w:t>
      </w:r>
      <w:r>
        <w:rPr>
          <w:sz w:val="22"/>
        </w:rPr>
        <w:t>LCFF</w:t>
      </w:r>
      <w:r>
        <w:rPr>
          <w:spacing w:val="-2"/>
          <w:sz w:val="22"/>
        </w:rPr>
        <w:t> </w:t>
      </w:r>
      <w:r>
        <w:rPr>
          <w:sz w:val="22"/>
        </w:rPr>
        <w:t>(</w:t>
      </w:r>
      <w:r>
        <w:rPr>
          <w:i/>
          <w:sz w:val="22"/>
        </w:rPr>
        <w:t>EC</w:t>
      </w:r>
      <w:r>
        <w:rPr>
          <w:i/>
          <w:spacing w:val="-2"/>
          <w:sz w:val="22"/>
        </w:rPr>
        <w:t> </w:t>
      </w:r>
      <w:r>
        <w:rPr>
          <w:sz w:val="22"/>
        </w:rPr>
        <w:t>52064(b)(4-6)).</w:t>
      </w:r>
    </w:p>
    <w:p>
      <w:pPr>
        <w:pStyle w:val="ListParagraph"/>
        <w:numPr>
          <w:ilvl w:val="3"/>
          <w:numId w:val="2"/>
        </w:numPr>
        <w:tabs>
          <w:tab w:pos="1679" w:val="left" w:leader="none"/>
          <w:tab w:pos="1680" w:val="left" w:leader="none"/>
        </w:tabs>
        <w:spacing w:line="223" w:lineRule="auto" w:before="16" w:after="0"/>
        <w:ind w:left="1680" w:right="1187" w:hanging="360"/>
        <w:jc w:val="left"/>
        <w:rPr>
          <w:rFonts w:ascii="Courier New" w:hAnsi="Courier New"/>
          <w:sz w:val="22"/>
        </w:rPr>
      </w:pPr>
      <w:r>
        <w:rPr>
          <w:sz w:val="22"/>
        </w:rPr>
        <w:t>Estableciendo metas, apoyadas por acciones y gastos relacionados, que abordan las áreas reglamentarias de prioridad y medidas reglamentarias (EC 52064(b)(1) &amp;</w:t>
      </w:r>
      <w:r>
        <w:rPr>
          <w:spacing w:val="-2"/>
          <w:sz w:val="22"/>
        </w:rPr>
        <w:t> </w:t>
      </w:r>
      <w:r>
        <w:rPr>
          <w:sz w:val="22"/>
        </w:rPr>
        <w:t>(2)).</w:t>
      </w:r>
    </w:p>
    <w:p>
      <w:pPr>
        <w:pStyle w:val="ListParagraph"/>
        <w:numPr>
          <w:ilvl w:val="3"/>
          <w:numId w:val="2"/>
        </w:numPr>
        <w:tabs>
          <w:tab w:pos="1679" w:val="left" w:leader="none"/>
          <w:tab w:pos="1680" w:val="left" w:leader="none"/>
        </w:tabs>
        <w:spacing w:line="240" w:lineRule="auto" w:before="3" w:after="0"/>
        <w:ind w:left="1680" w:right="0" w:hanging="360"/>
        <w:jc w:val="left"/>
        <w:rPr>
          <w:rFonts w:ascii="Courier New" w:hAnsi="Courier New"/>
          <w:sz w:val="22"/>
        </w:rPr>
      </w:pPr>
      <w:r>
        <w:rPr>
          <w:sz w:val="22"/>
        </w:rPr>
        <w:t>Anualmente repasando y actualizando el LCAP para reflejar progreso hacia las metas (</w:t>
      </w:r>
      <w:r>
        <w:rPr>
          <w:i/>
          <w:sz w:val="22"/>
        </w:rPr>
        <w:t>EC</w:t>
      </w:r>
      <w:r>
        <w:rPr>
          <w:i/>
          <w:spacing w:val="-11"/>
          <w:sz w:val="22"/>
        </w:rPr>
        <w:t> </w:t>
      </w:r>
      <w:r>
        <w:rPr>
          <w:sz w:val="22"/>
        </w:rPr>
        <w:t>52064(b)(7)).</w:t>
      </w:r>
    </w:p>
    <w:p>
      <w:pPr>
        <w:pStyle w:val="BodyText"/>
        <w:spacing w:before="221"/>
        <w:ind w:left="240" w:right="745"/>
      </w:pPr>
      <w:r>
        <w:rPr/>
        <w:t>La plantilla LCAP, como cada LCAP final adoptado del LEA, es un documento, no un proceso. Los LEA deben usar la plantilla para conmemorar el resultado del proceso de desarrollo de su LCAP, que debe: (a) reflejar comprensiva planificación estratégica (b) mediante</w:t>
      </w:r>
    </w:p>
    <w:p>
      <w:pPr>
        <w:spacing w:after="0"/>
        <w:sectPr>
          <w:pgSz w:w="15840" w:h="12240" w:orient="landscape"/>
          <w:pgMar w:header="0" w:footer="284" w:top="720" w:bottom="560" w:left="120" w:right="120"/>
        </w:sectPr>
      </w:pPr>
    </w:p>
    <w:p>
      <w:pPr>
        <w:pStyle w:val="BodyText"/>
        <w:spacing w:before="76"/>
        <w:ind w:left="240" w:right="584"/>
      </w:pPr>
      <w:r>
        <w:rPr/>
        <w:t>participación significativa con los involucrados que (c) cumple los requisitos legales, según se refleja en el LCAP final adoptado. Las secciones incluidas dentro de la plantilla LCAP no logran ni pueden reflejar el proceso completo de desarrollo, justo como la plantilla LCAP misma no está diseñada como una herramienta de participación de involucrados.</w:t>
      </w:r>
    </w:p>
    <w:p>
      <w:pPr>
        <w:pStyle w:val="BodyText"/>
        <w:spacing w:before="10"/>
        <w:rPr>
          <w:sz w:val="20"/>
        </w:rPr>
      </w:pPr>
    </w:p>
    <w:p>
      <w:pPr>
        <w:pStyle w:val="BodyText"/>
        <w:ind w:left="240" w:right="270"/>
      </w:pPr>
      <w:r>
        <w:rPr/>
        <w:t>Si el superintendente escolar del condado tiene jurisdicción sobre un distrito escolar de una escuela, el consejo educativo del condado y consejo directivo del distrito escolar puede adoptar y peticionar para repaso y aprobación de un LCAP singular consistente con los requisitos en las secciones 50260, 52062, 52068 y 52070 del Código Educativo (EC, por sus siglas en inglés). El LCAP debe claramente articular con el presupuesto de cual entidad (distrito escolar o superintendente escolar del condado) se alinearán todos los gastos presupuestados y actuales.</w:t>
      </w:r>
    </w:p>
    <w:p>
      <w:pPr>
        <w:pStyle w:val="BodyText"/>
        <w:spacing w:before="10"/>
        <w:rPr>
          <w:sz w:val="20"/>
        </w:rPr>
      </w:pPr>
    </w:p>
    <w:p>
      <w:pPr>
        <w:pStyle w:val="BodyText"/>
        <w:ind w:left="240" w:right="385"/>
      </w:pPr>
      <w:r>
        <w:rPr/>
        <w:t>La plantilla modificada del LCAP para los ciclos escolares 2020–21, 2021–22 y 2022–23 refleja cambios reglamentarios realizados mediante el Proyecto de Ley 1840 (Comité sobre Presupuesto), Capítulo 243, Estatutos de 2018. Estos cambios reglamentarios mejoran la transparencia relacionada a gastos en acciones incluidas en el LCAP, incluyendo acciones que contribuyen a cumpliendo el requisito para aumentar o mejorar servicios para jóvenes de crianza temporal, estudiantes del inglés y alumnos de bajos ingresos, así como para optimizar la información presentada dentro del LCAP para hacer los LCAP adoptados más accesibles para los involucrados y el público en general.</w:t>
      </w:r>
    </w:p>
    <w:p>
      <w:pPr>
        <w:pStyle w:val="BodyText"/>
        <w:spacing w:before="10"/>
        <w:rPr>
          <w:sz w:val="20"/>
        </w:rPr>
      </w:pPr>
    </w:p>
    <w:p>
      <w:pPr>
        <w:pStyle w:val="BodyText"/>
        <w:ind w:left="240" w:right="384"/>
      </w:pPr>
      <w:r>
        <w:rPr/>
        <w:t>Mayormente esencial, el LCAP adoptado debe intentar destilar no solo lo que está haciendo el LEA, pero también permitir que los involucrados entiendan porque y si es que aquellas estrategias están resultando en mejores oportunidades y resultados para los alumnos. Los LEA son firmemente alentados a usar lenguaje y un nivel de detalle en sus LCAP adoptados diseñados para ser significativo y accesible para los diversos involucrados del LEA, así como el público en general.</w:t>
      </w:r>
    </w:p>
    <w:p>
      <w:pPr>
        <w:pStyle w:val="BodyText"/>
        <w:spacing w:before="10"/>
        <w:rPr>
          <w:sz w:val="20"/>
        </w:rPr>
      </w:pPr>
    </w:p>
    <w:p>
      <w:pPr>
        <w:pStyle w:val="BodyText"/>
        <w:ind w:left="240" w:right="665"/>
      </w:pPr>
      <w:r>
        <w:rPr/>
        <w:t>En desarrollar y finalizar el LCAP para adopción, los LEA son alentados mantener la estructura general como el énfasis de la planificación estratégica y funciones de participación de involucrados:</w:t>
      </w:r>
    </w:p>
    <w:p>
      <w:pPr>
        <w:pStyle w:val="BodyText"/>
        <w:spacing w:before="10"/>
        <w:rPr>
          <w:sz w:val="20"/>
        </w:rPr>
      </w:pPr>
    </w:p>
    <w:p>
      <w:pPr>
        <w:pStyle w:val="BodyText"/>
        <w:ind w:left="960" w:right="238"/>
      </w:pPr>
      <w:r>
        <w:rPr/>
        <w:t>Dado presente desempeño a lo largo de prioridades estatales y en indicadores de la Interfaz (</w:t>
      </w:r>
      <w:r>
        <w:rPr>
          <w:i/>
        </w:rPr>
        <w:t>Dashboard</w:t>
      </w:r>
      <w:r>
        <w:rPr/>
        <w:t>) Escolar de California, ¿cómo está el LEA usando sus recursos presupuestarios para responder a las necesidades estudiantiles y comunitarias, así como abordar cualquier brecha de desempeño, incluyendo al cumplir su obligación para aumentar o mejorar servicios para los jóvenes de crianza temporal, estudiantes del inglés y alumnos de bajos ingresos?</w:t>
      </w:r>
    </w:p>
    <w:p>
      <w:pPr>
        <w:pStyle w:val="BodyText"/>
        <w:spacing w:before="10"/>
        <w:rPr>
          <w:sz w:val="20"/>
        </w:rPr>
      </w:pPr>
    </w:p>
    <w:p>
      <w:pPr>
        <w:pStyle w:val="BodyText"/>
        <w:ind w:left="240" w:right="610"/>
      </w:pPr>
      <w:r>
        <w:rPr/>
        <w:t>Los LEA son alentados a enfocarse en un grupo de medidas o acciones que el LEA cree, a base de aporte recopilado de los involucrados, investigación y experiencia, tendrá el mayor impacto de parte de sus alumnos.</w:t>
      </w:r>
    </w:p>
    <w:p>
      <w:pPr>
        <w:pStyle w:val="BodyText"/>
        <w:spacing w:before="10"/>
        <w:rPr>
          <w:sz w:val="20"/>
        </w:rPr>
      </w:pPr>
    </w:p>
    <w:p>
      <w:pPr>
        <w:pStyle w:val="BodyText"/>
        <w:ind w:left="240" w:right="270"/>
      </w:pPr>
      <w:r>
        <w:rPr/>
        <w:t>Estas instrucciones abordan los requisitos para cada sección del LCAP, pero puede incluir información sobre prácticas efectivas al desarrollar el LCAP y completando el LCAP mismo. También, información es incluida al principio de cada sección enfatizando el propósito que tiene cada sección.</w:t>
      </w:r>
    </w:p>
    <w:p>
      <w:pPr>
        <w:pStyle w:val="BodyText"/>
        <w:spacing w:before="5"/>
        <w:rPr>
          <w:sz w:val="17"/>
        </w:rPr>
      </w:pPr>
      <w:r>
        <w:rPr/>
        <w:pict>
          <v:shape style="position:absolute;margin-left:11.425pt;margin-top:13.135657pt;width:769.15pt;height:27.25pt;mso-position-horizontal-relative:page;mso-position-vertical-relative:paragraph;z-index:-251588608;mso-wrap-distance-left:0;mso-wrap-distance-right:0" type="#_x0000_t202" filled="true" fillcolor="#dbe5f1" stroked="true" strokeweight="2.25pt" strokecolor="#000000">
            <v:textbox inset="0,0,0,0">
              <w:txbxContent>
                <w:p>
                  <w:pPr>
                    <w:spacing w:before="20"/>
                    <w:ind w:left="108" w:right="0" w:firstLine="0"/>
                    <w:jc w:val="left"/>
                    <w:rPr>
                      <w:b/>
                      <w:sz w:val="40"/>
                    </w:rPr>
                  </w:pPr>
                  <w:bookmarkStart w:name="Resumen del Plan" w:id="44"/>
                  <w:bookmarkEnd w:id="44"/>
                  <w:r>
                    <w:rPr/>
                  </w:r>
                  <w:r>
                    <w:rPr>
                      <w:b/>
                      <w:sz w:val="40"/>
                    </w:rPr>
                    <w:t>Resumen del Plan</w:t>
                  </w:r>
                </w:p>
              </w:txbxContent>
            </v:textbox>
            <v:fill type="solid"/>
            <v:stroke dashstyle="solid"/>
            <w10:wrap type="topAndBottom"/>
          </v:shape>
        </w:pict>
      </w:r>
    </w:p>
    <w:p>
      <w:pPr>
        <w:pStyle w:val="BodyText"/>
        <w:spacing w:before="9"/>
        <w:rPr>
          <w:sz w:val="20"/>
        </w:rPr>
      </w:pPr>
    </w:p>
    <w:p>
      <w:pPr>
        <w:spacing w:before="91"/>
        <w:ind w:left="240" w:right="0" w:firstLine="0"/>
        <w:jc w:val="left"/>
        <w:rPr>
          <w:b/>
          <w:sz w:val="28"/>
        </w:rPr>
      </w:pPr>
      <w:bookmarkStart w:name="Propósito" w:id="45"/>
      <w:bookmarkEnd w:id="45"/>
      <w:r>
        <w:rPr/>
      </w:r>
      <w:r>
        <w:rPr>
          <w:b/>
          <w:sz w:val="28"/>
        </w:rPr>
        <w:t>Propósito</w:t>
      </w:r>
    </w:p>
    <w:p>
      <w:pPr>
        <w:spacing w:after="0"/>
        <w:jc w:val="left"/>
        <w:rPr>
          <w:sz w:val="28"/>
        </w:rPr>
        <w:sectPr>
          <w:pgSz w:w="15840" w:h="12240" w:orient="landscape"/>
          <w:pgMar w:header="0" w:footer="284" w:top="560" w:bottom="560" w:left="120" w:right="120"/>
        </w:sectPr>
      </w:pPr>
    </w:p>
    <w:p>
      <w:pPr>
        <w:pStyle w:val="BodyText"/>
        <w:spacing w:before="76"/>
        <w:ind w:left="240" w:right="518"/>
      </w:pPr>
      <w:r>
        <w:rPr/>
        <w:t>Una sección bien desarrollada de Resumen del Plan ofrece un contexto significativo para el LCAP. Esta sección proporciona información sobre la comunidad de un LEA, así como información relevante sobre necesidades y desempeño estudiantil. A fin de proporcionar un contexto significativo para el resto del LCAP, el contenido de esta sección debe relacionarse clara y significativamente al contenido incluido en las secciones subsiguientes del LCAP.</w:t>
      </w:r>
    </w:p>
    <w:p>
      <w:pPr>
        <w:pStyle w:val="BodyText"/>
        <w:spacing w:before="2"/>
        <w:rPr>
          <w:sz w:val="29"/>
        </w:rPr>
      </w:pPr>
    </w:p>
    <w:p>
      <w:pPr>
        <w:pStyle w:val="Heading3"/>
      </w:pPr>
      <w:bookmarkStart w:name="Requisitos e Instrucciones" w:id="46"/>
      <w:bookmarkEnd w:id="46"/>
      <w:r>
        <w:rPr>
          <w:b w:val="0"/>
        </w:rPr>
      </w:r>
      <w:r>
        <w:rPr/>
        <w:t>Requisitos e Instrucciones</w:t>
      </w:r>
    </w:p>
    <w:p>
      <w:pPr>
        <w:pStyle w:val="BodyText"/>
        <w:spacing w:before="60"/>
        <w:ind w:left="240" w:right="332"/>
      </w:pPr>
      <w:r>
        <w:rPr>
          <w:b/>
          <w:i/>
        </w:rPr>
        <w:t>Información General </w:t>
      </w:r>
      <w:r>
        <w:rPr/>
        <w:t>– Brevemente describa los alumnos y la comunidad. Por ejemplo, información sobre un LEA en términos de geografía, inscripción o empleo, la cantidad y el tamaño de escuelas específicas, recientes desafíos comunitarios y otra tal información que como LEA desea incluir puede permitir que un lector entienda mejora el LCAP de un LEA.</w:t>
      </w:r>
    </w:p>
    <w:p>
      <w:pPr>
        <w:pStyle w:val="BodyText"/>
        <w:spacing w:before="10"/>
        <w:rPr>
          <w:sz w:val="20"/>
        </w:rPr>
      </w:pPr>
    </w:p>
    <w:p>
      <w:pPr>
        <w:pStyle w:val="BodyText"/>
        <w:ind w:left="240" w:right="344"/>
      </w:pPr>
      <w:r>
        <w:rPr>
          <w:b/>
          <w:i/>
        </w:rPr>
        <w:t>Reflexiones: Éxitos </w:t>
      </w:r>
      <w:r>
        <w:rPr/>
        <w:t>– Basado en un repaso de desempeño en los indicadores estatales e indicadores locales de desempeño incluidos en la Interfaz (</w:t>
      </w:r>
      <w:r>
        <w:rPr>
          <w:i/>
        </w:rPr>
        <w:t>Dashboard</w:t>
      </w:r>
      <w:r>
        <w:rPr/>
        <w:t>), progreso hacia las metas LCAP, herramientas locales de autoevaluación, ¿aporte de los involucrados y cualquier otra información, cual progreso enorgullece más al LEA y como el LEA planea mantener o continuar ese éxito? Esto podrá incluir identificando ejemplos específicos sobre como previos aumentos o mejoras en los servicios para jóvenes de crianza temporal, estudiantes del inglés y alumnos de bajos ingresos han resultado en mejor desempeño para estos alumnos.</w:t>
      </w:r>
    </w:p>
    <w:p>
      <w:pPr>
        <w:pStyle w:val="BodyText"/>
        <w:spacing w:before="10"/>
        <w:rPr>
          <w:sz w:val="20"/>
        </w:rPr>
      </w:pPr>
    </w:p>
    <w:p>
      <w:pPr>
        <w:pStyle w:val="BodyText"/>
        <w:ind w:left="240" w:right="252"/>
      </w:pPr>
      <w:r>
        <w:rPr>
          <w:b/>
          <w:i/>
        </w:rPr>
        <w:t>Reflexiones: Necesidad Identificada </w:t>
      </w:r>
      <w:r>
        <w:rPr/>
        <w:t>– Consultando la Interfaz (</w:t>
      </w:r>
      <w:r>
        <w:rPr>
          <w:i/>
        </w:rPr>
        <w:t>Dashboard</w:t>
      </w:r>
      <w:r>
        <w:rPr/>
        <w:t>), identifica: (a) cualquier indicador estatal por cual el desempeño general estuvo en la categoría “Rojo” o “Naranja” de desempeño o cualquier indicador local donde el LEA recibió una clasificación “No Cumplido” o “No Cumplido por Dos o Más Años” Y (b) cualquier indicador estatal por cual el desempeño para cualquier grupo estudiantil fue dos o más niveles de desempeño inferiores al desempeño de “todos los alumnos”. ¿Cuáles pasos está planeando tomar el LEA para abordar estas áreas de bajo desempeño y brecha de desempeño? Otras necesidades podrán identificarse usando datos recopilados localmente incluyendo datos recopilados para formar las herramientas de autorreflexión y reportando indicadores locales en la Interfaz (</w:t>
      </w:r>
      <w:r>
        <w:rPr>
          <w:i/>
        </w:rPr>
        <w:t>Dashboard</w:t>
      </w:r>
      <w:r>
        <w:rPr/>
        <w:t>).</w:t>
      </w:r>
    </w:p>
    <w:p>
      <w:pPr>
        <w:pStyle w:val="BodyText"/>
        <w:spacing w:before="10"/>
        <w:rPr>
          <w:sz w:val="20"/>
        </w:rPr>
      </w:pPr>
    </w:p>
    <w:p>
      <w:pPr>
        <w:spacing w:before="0"/>
        <w:ind w:left="240" w:right="0" w:firstLine="0"/>
        <w:jc w:val="left"/>
        <w:rPr>
          <w:sz w:val="24"/>
        </w:rPr>
      </w:pPr>
      <w:r>
        <w:rPr>
          <w:b/>
          <w:i/>
          <w:sz w:val="24"/>
        </w:rPr>
        <w:t>Puntos Destacados del LCAP </w:t>
      </w:r>
      <w:r>
        <w:rPr>
          <w:sz w:val="24"/>
        </w:rPr>
        <w:t>– Identifica y brevemente resuma los rasgos claves del LCAP de este año.</w:t>
      </w:r>
    </w:p>
    <w:p>
      <w:pPr>
        <w:pStyle w:val="BodyText"/>
        <w:spacing w:before="10"/>
        <w:rPr>
          <w:sz w:val="20"/>
        </w:rPr>
      </w:pPr>
    </w:p>
    <w:p>
      <w:pPr>
        <w:pStyle w:val="BodyText"/>
        <w:ind w:left="240" w:right="627"/>
      </w:pPr>
      <w:r>
        <w:rPr>
          <w:b/>
          <w:i/>
        </w:rPr>
        <w:t>Apoyo y Mejoramiento Comprensivo </w:t>
      </w:r>
      <w:r>
        <w:rPr/>
        <w:t>– Un LEA con una escuela o escuelas identificadas para apoyo y mejoramiento comprensivo (CSI, por sus siglas en inglés) bajo la Ley Todos los Alumnos Triunfan debe responder a las siguientes consignas:</w:t>
      </w:r>
    </w:p>
    <w:p>
      <w:pPr>
        <w:pStyle w:val="BodyText"/>
        <w:spacing w:before="10"/>
        <w:rPr>
          <w:sz w:val="20"/>
        </w:rPr>
      </w:pPr>
    </w:p>
    <w:p>
      <w:pPr>
        <w:pStyle w:val="ListParagraph"/>
        <w:numPr>
          <w:ilvl w:val="0"/>
          <w:numId w:val="3"/>
        </w:numPr>
        <w:tabs>
          <w:tab w:pos="959" w:val="left" w:leader="none"/>
          <w:tab w:pos="960" w:val="left" w:leader="none"/>
        </w:tabs>
        <w:spacing w:line="240" w:lineRule="auto" w:before="0" w:after="0"/>
        <w:ind w:left="960" w:right="0" w:hanging="360"/>
        <w:jc w:val="left"/>
        <w:rPr>
          <w:sz w:val="24"/>
        </w:rPr>
      </w:pPr>
      <w:r>
        <w:rPr>
          <w:b/>
          <w:sz w:val="24"/>
        </w:rPr>
        <w:t>Escuelas Identificadas</w:t>
      </w:r>
      <w:r>
        <w:rPr>
          <w:sz w:val="24"/>
        </w:rPr>
        <w:t>: Identifique las escuelas dentro del LEA que han sido identificadas para</w:t>
      </w:r>
      <w:r>
        <w:rPr>
          <w:spacing w:val="-10"/>
          <w:sz w:val="24"/>
        </w:rPr>
        <w:t> </w:t>
      </w:r>
      <w:r>
        <w:rPr>
          <w:sz w:val="24"/>
        </w:rPr>
        <w:t>CSI.</w:t>
      </w:r>
    </w:p>
    <w:p>
      <w:pPr>
        <w:pStyle w:val="BodyText"/>
        <w:spacing w:before="9"/>
        <w:rPr>
          <w:sz w:val="20"/>
        </w:rPr>
      </w:pPr>
    </w:p>
    <w:p>
      <w:pPr>
        <w:pStyle w:val="ListParagraph"/>
        <w:numPr>
          <w:ilvl w:val="0"/>
          <w:numId w:val="3"/>
        </w:numPr>
        <w:tabs>
          <w:tab w:pos="959" w:val="left" w:leader="none"/>
          <w:tab w:pos="960" w:val="left" w:leader="none"/>
        </w:tabs>
        <w:spacing w:line="240" w:lineRule="auto" w:before="0" w:after="0"/>
        <w:ind w:left="960" w:right="604" w:hanging="360"/>
        <w:jc w:val="left"/>
        <w:rPr>
          <w:sz w:val="24"/>
        </w:rPr>
      </w:pPr>
      <w:r>
        <w:rPr>
          <w:b/>
          <w:sz w:val="24"/>
        </w:rPr>
        <w:t>Apoyo para Escuelas Identificadas</w:t>
      </w:r>
      <w:r>
        <w:rPr>
          <w:sz w:val="24"/>
        </w:rPr>
        <w:t>: Describa como el LEA apoyó las escuelas identificadas a desarrollar planes CSI que incluyen una evaluación de necesidades a nivel escolar, intervenciones basadas en evidencia y la identificación de cualquier inequidad de recursos por abordarse mediante la implementación del plan</w:t>
      </w:r>
      <w:r>
        <w:rPr>
          <w:spacing w:val="-4"/>
          <w:sz w:val="24"/>
        </w:rPr>
        <w:t> </w:t>
      </w:r>
      <w:r>
        <w:rPr>
          <w:sz w:val="24"/>
        </w:rPr>
        <w:t>CSI.</w:t>
      </w:r>
    </w:p>
    <w:p>
      <w:pPr>
        <w:pStyle w:val="BodyText"/>
        <w:spacing w:before="9"/>
        <w:rPr>
          <w:sz w:val="20"/>
        </w:rPr>
      </w:pPr>
    </w:p>
    <w:p>
      <w:pPr>
        <w:pStyle w:val="ListParagraph"/>
        <w:numPr>
          <w:ilvl w:val="0"/>
          <w:numId w:val="3"/>
        </w:numPr>
        <w:tabs>
          <w:tab w:pos="959" w:val="left" w:leader="none"/>
          <w:tab w:pos="960" w:val="left" w:leader="none"/>
        </w:tabs>
        <w:spacing w:line="240" w:lineRule="auto" w:before="0" w:after="0"/>
        <w:ind w:left="960" w:right="458" w:hanging="360"/>
        <w:jc w:val="left"/>
        <w:rPr>
          <w:sz w:val="24"/>
        </w:rPr>
      </w:pPr>
      <w:r>
        <w:rPr>
          <w:b/>
          <w:sz w:val="24"/>
        </w:rPr>
        <w:t>Supervisando y Evaluando Efectividad</w:t>
      </w:r>
      <w:r>
        <w:rPr>
          <w:sz w:val="24"/>
        </w:rPr>
        <w:t>: Describa como el LEA supervisará y evaluará la implementación y efectividad del plan CSI para apoyar el mejoramiento estudiantil y</w:t>
      </w:r>
      <w:r>
        <w:rPr>
          <w:spacing w:val="-3"/>
          <w:sz w:val="24"/>
        </w:rPr>
        <w:t> </w:t>
      </w:r>
      <w:r>
        <w:rPr>
          <w:sz w:val="24"/>
        </w:rPr>
        <w:t>escolar.</w:t>
      </w:r>
    </w:p>
    <w:p>
      <w:pPr>
        <w:pStyle w:val="BodyText"/>
        <w:spacing w:before="4"/>
        <w:rPr>
          <w:sz w:val="17"/>
        </w:rPr>
      </w:pPr>
      <w:r>
        <w:rPr/>
        <w:pict>
          <v:shape style="position:absolute;margin-left:11.425pt;margin-top:13.103065pt;width:769.15pt;height:27.25pt;mso-position-horizontal-relative:page;mso-position-vertical-relative:paragraph;z-index:-251587584;mso-wrap-distance-left:0;mso-wrap-distance-right:0" type="#_x0000_t202" filled="true" fillcolor="#dbe5f1" stroked="true" strokeweight="2.25pt" strokecolor="#000000">
            <v:textbox inset="0,0,0,0">
              <w:txbxContent>
                <w:p>
                  <w:pPr>
                    <w:spacing w:before="20"/>
                    <w:ind w:left="108" w:right="0" w:firstLine="0"/>
                    <w:jc w:val="left"/>
                    <w:rPr>
                      <w:b/>
                      <w:sz w:val="40"/>
                    </w:rPr>
                  </w:pPr>
                  <w:bookmarkStart w:name="Participación de Involucrados" w:id="47"/>
                  <w:bookmarkEnd w:id="47"/>
                  <w:r>
                    <w:rPr/>
                  </w:r>
                  <w:r>
                    <w:rPr>
                      <w:b/>
                      <w:sz w:val="40"/>
                    </w:rPr>
                    <w:t>Participación de Involucrados</w:t>
                  </w:r>
                </w:p>
              </w:txbxContent>
            </v:textbox>
            <v:fill type="solid"/>
            <v:stroke dashstyle="solid"/>
            <w10:wrap type="topAndBottom"/>
          </v:shape>
        </w:pict>
      </w:r>
    </w:p>
    <w:p>
      <w:pPr>
        <w:spacing w:after="0"/>
        <w:rPr>
          <w:sz w:val="17"/>
        </w:rPr>
        <w:sectPr>
          <w:pgSz w:w="15840" w:h="12240" w:orient="landscape"/>
          <w:pgMar w:header="0" w:footer="284" w:top="560" w:bottom="560" w:left="120" w:right="120"/>
        </w:sectPr>
      </w:pPr>
    </w:p>
    <w:p>
      <w:pPr>
        <w:pStyle w:val="Heading3"/>
        <w:spacing w:before="76"/>
      </w:pPr>
      <w:bookmarkStart w:name="Propósito" w:id="48"/>
      <w:bookmarkEnd w:id="48"/>
      <w:r>
        <w:rPr>
          <w:b w:val="0"/>
        </w:rPr>
      </w:r>
      <w:r>
        <w:rPr/>
        <w:t>Propósito</w:t>
      </w:r>
    </w:p>
    <w:p>
      <w:pPr>
        <w:pStyle w:val="BodyText"/>
        <w:spacing w:before="60"/>
        <w:ind w:left="240" w:right="304"/>
      </w:pPr>
      <w:r>
        <w:rPr/>
        <w:t>Participación significativa de los padres, alumnos y otros involucrados, incluyendo aquellos representando los grupos estudiantiles identificados por LCFF, es crítico al desarrollo del LCAP y el proceso presupuestario. Consistente con reglamentos, tal participación de involucrados debe apoyar comprensiva planificación estratégica, contabilidad y mejoramiento a lo largo de prioridades estatales y prioridades localmente identificadas (</w:t>
      </w:r>
      <w:r>
        <w:rPr>
          <w:i/>
        </w:rPr>
        <w:t>EC </w:t>
      </w:r>
      <w:r>
        <w:rPr/>
        <w:t>52064(e)(1)). La participación de involucrados es un continuo proceso anual.</w:t>
      </w:r>
    </w:p>
    <w:p>
      <w:pPr>
        <w:pStyle w:val="BodyText"/>
        <w:spacing w:before="10"/>
        <w:rPr>
          <w:sz w:val="20"/>
        </w:rPr>
      </w:pPr>
    </w:p>
    <w:p>
      <w:pPr>
        <w:pStyle w:val="BodyText"/>
        <w:ind w:left="240" w:right="509"/>
        <w:jc w:val="both"/>
      </w:pPr>
      <w:r>
        <w:rPr/>
        <w:t>Esta sección está diseñada para reflejar como la participación de involucrados influenció las decisiones reflejadas en el LCAP adoptado. La meta es permitir que los involucrados que participaron en el proceso de desarrollo LCAP, así como el público en general entiendan como el LEA incluyó a los involucrados y el impacto de aquella participación.</w:t>
      </w:r>
    </w:p>
    <w:p>
      <w:pPr>
        <w:pStyle w:val="BodyText"/>
        <w:spacing w:before="10"/>
        <w:rPr>
          <w:sz w:val="20"/>
        </w:rPr>
      </w:pPr>
    </w:p>
    <w:p>
      <w:pPr>
        <w:pStyle w:val="BodyText"/>
        <w:ind w:left="240" w:right="386"/>
      </w:pPr>
      <w:r>
        <w:rPr/>
        <w:t>Estatutos y regulaciones especifican los grupos de involucrados que los distritos escolares y COE deben consultar al desarrollar el LCAP: maestros, directores, administradores, otro personal escolar, unidades de negociación del convenio del LEA, padres y alumnos. Antes de adoptar el LCAP, los distritos escolares y COE deben compartirlo con el Comité Asesor Parental y el Comité Asesor Parental de Estudiantes del Inglés, y consultar con los administradores del área de plan local de educación especial, según corresponda. El superintendente es obligado por estatuto responder por escrito a los comentarios recibidos de estos comités. Los distritos escolares y oficinas de educación del condado (COE, por sus siglas en inglés) deben también consultar con los administradores del área de plan local de educación especial al desarrollar el LCAP. Los estatutos requieren que las escuelas semiautónomas consulten con los maestros, directores, administradores, otro personal escolar, padres y alumnos en desarrollar el LCAP. El LCAP debe también compartirse con, y los LEA deben solicitar el aporte de, grupos asesores a nivel del sitio escolar, según corresponda (p. ej., consejos del sitio escolar, Consejos Asesores de Estudiantes del Inglés, grupos asesores estudiantiles, etc.), para facilitar alineación entre metas y acciones del sitio escolar y a nivel distrital.</w:t>
      </w:r>
    </w:p>
    <w:p>
      <w:pPr>
        <w:pStyle w:val="BodyText"/>
        <w:spacing w:before="10"/>
        <w:rPr>
          <w:sz w:val="20"/>
        </w:rPr>
      </w:pPr>
    </w:p>
    <w:p>
      <w:pPr>
        <w:pStyle w:val="BodyText"/>
        <w:ind w:left="240" w:right="838"/>
      </w:pPr>
      <w:r>
        <w:rPr/>
        <w:t>Información y recursos que apoyan efectiva participación de involucrados, definen consulta estudiantil y proporcionan los requisitos para composición de grupo asesor, se puede encontrar bajo Recursos en la siguiente página web del sitio web del CDE: </w:t>
      </w:r>
      <w:hyperlink r:id="rId31">
        <w:r>
          <w:rPr>
            <w:color w:val="0000FF"/>
            <w:u w:val="single" w:color="0000FF"/>
          </w:rPr>
          <w:t>https://www.cde.ca.gov/re/lc/</w:t>
        </w:r>
      </w:hyperlink>
      <w:r>
        <w:rPr/>
        <w:t>.</w:t>
      </w:r>
    </w:p>
    <w:p>
      <w:pPr>
        <w:pStyle w:val="BodyText"/>
        <w:spacing w:before="10"/>
        <w:rPr>
          <w:sz w:val="20"/>
        </w:rPr>
      </w:pPr>
    </w:p>
    <w:p>
      <w:pPr>
        <w:pStyle w:val="Heading3"/>
      </w:pPr>
      <w:bookmarkStart w:name="Requisitos e Instrucciones" w:id="49"/>
      <w:bookmarkEnd w:id="49"/>
      <w:r>
        <w:rPr>
          <w:b w:val="0"/>
        </w:rPr>
      </w:r>
      <w:r>
        <w:rPr/>
        <w:t>Requisitos e Instrucciones</w:t>
      </w:r>
    </w:p>
    <w:p>
      <w:pPr>
        <w:spacing w:before="60"/>
        <w:ind w:left="240" w:right="891" w:firstLine="0"/>
        <w:jc w:val="left"/>
        <w:rPr>
          <w:sz w:val="24"/>
        </w:rPr>
      </w:pPr>
      <w:r>
        <w:rPr>
          <w:sz w:val="24"/>
        </w:rPr>
        <w:t>Al seguir hay un pasaje de la </w:t>
      </w:r>
      <w:r>
        <w:rPr>
          <w:i/>
          <w:sz w:val="24"/>
        </w:rPr>
        <w:t>Guía para Auditorías Anuales de Agencias Educativas Locales del Kínder-12° Grado y Reportando </w:t>
      </w:r>
      <w:r>
        <w:rPr>
          <w:i/>
          <w:sz w:val="24"/>
        </w:rPr>
        <w:t>Cumplimiento Estatal</w:t>
      </w:r>
      <w:r>
        <w:rPr>
          <w:sz w:val="24"/>
        </w:rPr>
        <w:t>, el cual es proporcionado para destacar los requisitos legales para participación de involucrados en el proceso del desarrollo LCAP:</w:t>
      </w:r>
    </w:p>
    <w:p>
      <w:pPr>
        <w:pStyle w:val="BodyText"/>
        <w:spacing w:before="10"/>
        <w:rPr>
          <w:sz w:val="20"/>
        </w:rPr>
      </w:pPr>
    </w:p>
    <w:p>
      <w:pPr>
        <w:spacing w:before="0"/>
        <w:ind w:left="960" w:right="0" w:firstLine="0"/>
        <w:jc w:val="left"/>
        <w:rPr>
          <w:b/>
          <w:sz w:val="24"/>
        </w:rPr>
      </w:pPr>
      <w:r>
        <w:rPr>
          <w:b/>
          <w:sz w:val="24"/>
        </w:rPr>
        <w:t>Plan de Contabilidad y Control Local:</w:t>
      </w:r>
    </w:p>
    <w:p>
      <w:pPr>
        <w:pStyle w:val="BodyText"/>
        <w:ind w:left="960"/>
      </w:pPr>
      <w:r>
        <w:rPr/>
        <w:t>Exclusivamente para oficinas de educación del condado y distritos escolares, verifique el LEA:</w:t>
      </w:r>
    </w:p>
    <w:p>
      <w:pPr>
        <w:pStyle w:val="BodyText"/>
        <w:spacing w:before="10"/>
        <w:rPr>
          <w:sz w:val="20"/>
        </w:rPr>
      </w:pPr>
    </w:p>
    <w:p>
      <w:pPr>
        <w:pStyle w:val="ListParagraph"/>
        <w:numPr>
          <w:ilvl w:val="0"/>
          <w:numId w:val="4"/>
        </w:numPr>
        <w:tabs>
          <w:tab w:pos="1680" w:val="left" w:leader="none"/>
        </w:tabs>
        <w:spacing w:line="240" w:lineRule="auto" w:before="0" w:after="0"/>
        <w:ind w:left="1680" w:right="856" w:hanging="360"/>
        <w:jc w:val="left"/>
        <w:rPr>
          <w:sz w:val="24"/>
        </w:rPr>
      </w:pPr>
      <w:r>
        <w:rPr>
          <w:sz w:val="24"/>
        </w:rPr>
        <w:t>Presentaron el Plan de Contabilidad y Control Local al comité asesor parental de acuerdo con el Código Educativo sección 52062(a)(1) o 52068(a)(1), según</w:t>
      </w:r>
      <w:r>
        <w:rPr>
          <w:spacing w:val="-1"/>
          <w:sz w:val="24"/>
        </w:rPr>
        <w:t> </w:t>
      </w:r>
      <w:r>
        <w:rPr>
          <w:sz w:val="24"/>
        </w:rPr>
        <w:t>corresponda.</w:t>
      </w:r>
    </w:p>
    <w:p>
      <w:pPr>
        <w:pStyle w:val="BodyText"/>
        <w:spacing w:before="10"/>
        <w:rPr>
          <w:sz w:val="20"/>
        </w:rPr>
      </w:pPr>
    </w:p>
    <w:p>
      <w:pPr>
        <w:pStyle w:val="ListParagraph"/>
        <w:numPr>
          <w:ilvl w:val="0"/>
          <w:numId w:val="4"/>
        </w:numPr>
        <w:tabs>
          <w:tab w:pos="1680" w:val="left" w:leader="none"/>
        </w:tabs>
        <w:spacing w:line="240" w:lineRule="auto" w:before="0" w:after="0"/>
        <w:ind w:left="1680" w:right="349" w:hanging="360"/>
        <w:jc w:val="left"/>
        <w:rPr>
          <w:sz w:val="24"/>
        </w:rPr>
      </w:pPr>
      <w:r>
        <w:rPr>
          <w:sz w:val="24"/>
        </w:rPr>
        <w:t>Según corresponda, presentaron el Plan de Contabilidad y Control Local al comité asesor parental de estudiantes del inglés, de acuerdo con el Código Educativo sección 52062(a)(2) o 52068(a)(2), según</w:t>
      </w:r>
      <w:r>
        <w:rPr>
          <w:spacing w:val="-8"/>
          <w:sz w:val="24"/>
        </w:rPr>
        <w:t> </w:t>
      </w:r>
      <w:r>
        <w:rPr>
          <w:sz w:val="24"/>
        </w:rPr>
        <w:t>corresponda.</w:t>
      </w:r>
    </w:p>
    <w:p>
      <w:pPr>
        <w:spacing w:after="0" w:line="240" w:lineRule="auto"/>
        <w:jc w:val="left"/>
        <w:rPr>
          <w:sz w:val="24"/>
        </w:rPr>
        <w:sectPr>
          <w:pgSz w:w="15840" w:h="12240" w:orient="landscape"/>
          <w:pgMar w:header="0" w:footer="284" w:top="560" w:bottom="560" w:left="120" w:right="120"/>
        </w:sectPr>
      </w:pPr>
    </w:p>
    <w:p>
      <w:pPr>
        <w:pStyle w:val="ListParagraph"/>
        <w:numPr>
          <w:ilvl w:val="0"/>
          <w:numId w:val="4"/>
        </w:numPr>
        <w:tabs>
          <w:tab w:pos="1680" w:val="left" w:leader="none"/>
        </w:tabs>
        <w:spacing w:line="240" w:lineRule="auto" w:before="76" w:after="0"/>
        <w:ind w:left="1680" w:right="444" w:hanging="360"/>
        <w:jc w:val="left"/>
        <w:rPr>
          <w:sz w:val="24"/>
        </w:rPr>
      </w:pPr>
      <w:r>
        <w:rPr>
          <w:sz w:val="24"/>
        </w:rPr>
        <w:t>Notificaron</w:t>
      </w:r>
      <w:r>
        <w:rPr>
          <w:spacing w:val="-4"/>
          <w:sz w:val="24"/>
        </w:rPr>
        <w:t> </w:t>
      </w:r>
      <w:r>
        <w:rPr>
          <w:sz w:val="24"/>
        </w:rPr>
        <w:t>a</w:t>
      </w:r>
      <w:r>
        <w:rPr>
          <w:spacing w:val="-4"/>
          <w:sz w:val="24"/>
        </w:rPr>
        <w:t> </w:t>
      </w:r>
      <w:r>
        <w:rPr>
          <w:sz w:val="24"/>
        </w:rPr>
        <w:t>miembros</w:t>
      </w:r>
      <w:r>
        <w:rPr>
          <w:spacing w:val="-4"/>
          <w:sz w:val="24"/>
        </w:rPr>
        <w:t> </w:t>
      </w:r>
      <w:r>
        <w:rPr>
          <w:sz w:val="24"/>
        </w:rPr>
        <w:t>del</w:t>
      </w:r>
      <w:r>
        <w:rPr>
          <w:spacing w:val="-4"/>
          <w:sz w:val="24"/>
        </w:rPr>
        <w:t> </w:t>
      </w:r>
      <w:r>
        <w:rPr>
          <w:sz w:val="24"/>
        </w:rPr>
        <w:t>público</w:t>
      </w:r>
      <w:r>
        <w:rPr>
          <w:spacing w:val="-4"/>
          <w:sz w:val="24"/>
        </w:rPr>
        <w:t> </w:t>
      </w:r>
      <w:r>
        <w:rPr>
          <w:sz w:val="24"/>
        </w:rPr>
        <w:t>sobre</w:t>
      </w:r>
      <w:r>
        <w:rPr>
          <w:spacing w:val="-4"/>
          <w:sz w:val="24"/>
        </w:rPr>
        <w:t> </w:t>
      </w:r>
      <w:r>
        <w:rPr>
          <w:sz w:val="24"/>
        </w:rPr>
        <w:t>la</w:t>
      </w:r>
      <w:r>
        <w:rPr>
          <w:spacing w:val="-4"/>
          <w:sz w:val="24"/>
        </w:rPr>
        <w:t> </w:t>
      </w:r>
      <w:r>
        <w:rPr>
          <w:sz w:val="24"/>
        </w:rPr>
        <w:t>oportunidad</w:t>
      </w:r>
      <w:r>
        <w:rPr>
          <w:spacing w:val="-3"/>
          <w:sz w:val="24"/>
        </w:rPr>
        <w:t> </w:t>
      </w:r>
      <w:r>
        <w:rPr>
          <w:sz w:val="24"/>
        </w:rPr>
        <w:t>de</w:t>
      </w:r>
      <w:r>
        <w:rPr>
          <w:spacing w:val="-4"/>
          <w:sz w:val="24"/>
        </w:rPr>
        <w:t> </w:t>
      </w:r>
      <w:r>
        <w:rPr>
          <w:sz w:val="24"/>
        </w:rPr>
        <w:t>entregar</w:t>
      </w:r>
      <w:r>
        <w:rPr>
          <w:spacing w:val="-3"/>
          <w:sz w:val="24"/>
        </w:rPr>
        <w:t> </w:t>
      </w:r>
      <w:r>
        <w:rPr>
          <w:sz w:val="24"/>
        </w:rPr>
        <w:t>comentarios</w:t>
      </w:r>
      <w:r>
        <w:rPr>
          <w:spacing w:val="-5"/>
          <w:sz w:val="24"/>
        </w:rPr>
        <w:t> </w:t>
      </w:r>
      <w:r>
        <w:rPr>
          <w:sz w:val="24"/>
        </w:rPr>
        <w:t>relacionados</w:t>
      </w:r>
      <w:r>
        <w:rPr>
          <w:spacing w:val="-4"/>
          <w:sz w:val="24"/>
        </w:rPr>
        <w:t> </w:t>
      </w:r>
      <w:r>
        <w:rPr>
          <w:sz w:val="24"/>
        </w:rPr>
        <w:t>a</w:t>
      </w:r>
      <w:r>
        <w:rPr>
          <w:spacing w:val="-4"/>
          <w:sz w:val="24"/>
        </w:rPr>
        <w:t> </w:t>
      </w:r>
      <w:r>
        <w:rPr>
          <w:sz w:val="24"/>
        </w:rPr>
        <w:t>acciones</w:t>
      </w:r>
      <w:r>
        <w:rPr>
          <w:spacing w:val="-4"/>
          <w:sz w:val="24"/>
        </w:rPr>
        <w:t> </w:t>
      </w:r>
      <w:r>
        <w:rPr>
          <w:sz w:val="24"/>
        </w:rPr>
        <w:t>específicas</w:t>
      </w:r>
      <w:r>
        <w:rPr>
          <w:spacing w:val="-3"/>
          <w:sz w:val="24"/>
        </w:rPr>
        <w:t> </w:t>
      </w:r>
      <w:r>
        <w:rPr>
          <w:sz w:val="24"/>
        </w:rPr>
        <w:t>y</w:t>
      </w:r>
      <w:r>
        <w:rPr>
          <w:spacing w:val="-4"/>
          <w:sz w:val="24"/>
        </w:rPr>
        <w:t> </w:t>
      </w:r>
      <w:r>
        <w:rPr>
          <w:sz w:val="24"/>
        </w:rPr>
        <w:t>gastos propuestos para ser incluidos en el Plan de Contabilidad y Control Local de acuerdo con el Código Educativo sección52062(a)(3) o 52068(a)(3), según</w:t>
      </w:r>
      <w:r>
        <w:rPr>
          <w:spacing w:val="-2"/>
          <w:sz w:val="24"/>
        </w:rPr>
        <w:t> </w:t>
      </w:r>
      <w:r>
        <w:rPr>
          <w:sz w:val="24"/>
        </w:rPr>
        <w:t>corresponda.</w:t>
      </w:r>
    </w:p>
    <w:p>
      <w:pPr>
        <w:pStyle w:val="BodyText"/>
        <w:spacing w:before="10"/>
        <w:rPr>
          <w:sz w:val="20"/>
        </w:rPr>
      </w:pPr>
    </w:p>
    <w:p>
      <w:pPr>
        <w:pStyle w:val="ListParagraph"/>
        <w:numPr>
          <w:ilvl w:val="0"/>
          <w:numId w:val="4"/>
        </w:numPr>
        <w:tabs>
          <w:tab w:pos="1680" w:val="left" w:leader="none"/>
        </w:tabs>
        <w:spacing w:line="240" w:lineRule="auto" w:before="0" w:after="0"/>
        <w:ind w:left="1680" w:right="909" w:hanging="360"/>
        <w:jc w:val="left"/>
        <w:rPr>
          <w:sz w:val="24"/>
        </w:rPr>
      </w:pPr>
      <w:r>
        <w:rPr>
          <w:sz w:val="24"/>
        </w:rPr>
        <w:t>Realizaron al menos una audiencia pública de acuerdo con el Código Educativo sección 52062(b)(1) o 52068(b)(1), según corresponda.</w:t>
      </w:r>
    </w:p>
    <w:p>
      <w:pPr>
        <w:pStyle w:val="BodyText"/>
        <w:spacing w:before="10"/>
        <w:rPr>
          <w:sz w:val="20"/>
        </w:rPr>
      </w:pPr>
    </w:p>
    <w:p>
      <w:pPr>
        <w:pStyle w:val="ListParagraph"/>
        <w:numPr>
          <w:ilvl w:val="0"/>
          <w:numId w:val="4"/>
        </w:numPr>
        <w:tabs>
          <w:tab w:pos="1680" w:val="left" w:leader="none"/>
        </w:tabs>
        <w:spacing w:line="240" w:lineRule="auto" w:before="0" w:after="0"/>
        <w:ind w:left="1680" w:right="1309" w:hanging="360"/>
        <w:jc w:val="left"/>
        <w:rPr>
          <w:sz w:val="24"/>
        </w:rPr>
      </w:pPr>
      <w:r>
        <w:rPr>
          <w:sz w:val="24"/>
        </w:rPr>
        <w:t>Adoptaron el Plan de Contabilidad y Control Local en una reunión pública de acuerdo con el Código Educativo sección 52062(b)(2) o 52068(b)(2), según</w:t>
      </w:r>
      <w:r>
        <w:rPr>
          <w:spacing w:val="-1"/>
          <w:sz w:val="24"/>
        </w:rPr>
        <w:t> </w:t>
      </w:r>
      <w:r>
        <w:rPr>
          <w:sz w:val="24"/>
        </w:rPr>
        <w:t>corresponda.</w:t>
      </w:r>
    </w:p>
    <w:p>
      <w:pPr>
        <w:pStyle w:val="BodyText"/>
        <w:spacing w:before="10"/>
        <w:rPr>
          <w:sz w:val="20"/>
        </w:rPr>
      </w:pPr>
    </w:p>
    <w:p>
      <w:pPr>
        <w:pStyle w:val="BodyText"/>
        <w:ind w:left="240"/>
      </w:pPr>
      <w:r>
        <w:rPr>
          <w:b/>
        </w:rPr>
        <w:t>Indicador 1</w:t>
      </w:r>
      <w:r>
        <w:rPr/>
        <w:t>: “Un resumen del proceso de involucrados y como los involucrados fueron considerados antes de finalizar el LCAP.”</w:t>
      </w:r>
    </w:p>
    <w:p>
      <w:pPr>
        <w:pStyle w:val="BodyText"/>
        <w:spacing w:before="10"/>
        <w:rPr>
          <w:sz w:val="20"/>
        </w:rPr>
      </w:pPr>
    </w:p>
    <w:p>
      <w:pPr>
        <w:pStyle w:val="BodyText"/>
        <w:ind w:left="240" w:right="224"/>
      </w:pPr>
      <w:r>
        <w:rPr/>
        <w:t>Describa el proceso de participación de involucrados utilizado por el LEA para incluir a los involucrados en el desarrollo del LCAP, incluyendo, como mínimo, describiendo como el LEA cumplió su obligación de consultar con todos los grupos de involucrados requerido en los reglamentos según corresponde al tipo de LEA. Una respuesta adecuada a este indicador debe incluir información general sobre el plazo del proceso y reuniones u otras estrategias de participación con los involucrados. Una respuesta puede también incluir información sobre el enfoque filosófico del LEA a la participación de los involucrados.</w:t>
      </w:r>
    </w:p>
    <w:p>
      <w:pPr>
        <w:pStyle w:val="BodyText"/>
        <w:spacing w:before="10"/>
        <w:rPr>
          <w:sz w:val="20"/>
        </w:rPr>
      </w:pPr>
    </w:p>
    <w:p>
      <w:pPr>
        <w:pStyle w:val="BodyText"/>
        <w:ind w:left="240"/>
      </w:pPr>
      <w:r>
        <w:rPr>
          <w:b/>
        </w:rPr>
        <w:t>Indicador 2</w:t>
      </w:r>
      <w:r>
        <w:rPr/>
        <w:t>: “Un resumen del aporte proporcionado por los grupos de involucrados específicos.”</w:t>
      </w:r>
    </w:p>
    <w:p>
      <w:pPr>
        <w:pStyle w:val="BodyText"/>
        <w:spacing w:before="10"/>
        <w:rPr>
          <w:sz w:val="20"/>
        </w:rPr>
      </w:pPr>
    </w:p>
    <w:p>
      <w:pPr>
        <w:pStyle w:val="BodyText"/>
        <w:ind w:left="240" w:right="945"/>
      </w:pPr>
      <w:r>
        <w:rPr/>
        <w:t>Describa y resuma el aporte de los involucrados proporcionado por involucrados específicos. Una respuesta adecuada a este indicador incluirá ideas, tendencias o aporte que resultó de un análisis de los comentarios recibidos de los involucrados.</w:t>
      </w:r>
    </w:p>
    <w:p>
      <w:pPr>
        <w:pStyle w:val="BodyText"/>
        <w:spacing w:before="10"/>
        <w:rPr>
          <w:sz w:val="20"/>
        </w:rPr>
      </w:pPr>
    </w:p>
    <w:p>
      <w:pPr>
        <w:pStyle w:val="BodyText"/>
        <w:ind w:left="240"/>
      </w:pPr>
      <w:r>
        <w:rPr>
          <w:b/>
        </w:rPr>
        <w:t>Indicador 3</w:t>
      </w:r>
      <w:r>
        <w:rPr/>
        <w:t>: “Una descripción de los aspectos del LCAP que fueron influenciados por aporte de involucrados específicos.”</w:t>
      </w:r>
    </w:p>
    <w:p>
      <w:pPr>
        <w:pStyle w:val="BodyText"/>
        <w:spacing w:before="10"/>
        <w:rPr>
          <w:sz w:val="20"/>
        </w:rPr>
      </w:pPr>
    </w:p>
    <w:p>
      <w:pPr>
        <w:pStyle w:val="BodyText"/>
        <w:ind w:left="240" w:right="224"/>
      </w:pPr>
      <w:r>
        <w:rPr/>
        <w:t>Una respuesta adecuada a este indicador ofrecerá a los involucrados y el público en general información clara y específica sobre como el proceso de participación de los involucrados influenció el desarrollo del LCAP. La respuesta debe describir aspectos del LCAP que fueron influenciados por o desarrollados en respuesta al aporte de involucrados detallado en respuesta al Indicador 2. Esto puede incluir una descripción sobre como el LEA priorizó los pedidos de involucrados dentro del contexto de los recursos presupuestarios disponibles o áreas de otra forma priorizadas de enfoque dentro del LCAP. Para los propósitos de este indicador, “aspectos” de un LCAP que pudieron haber sido influenciados por aporte de involucrados pueden incluir, pero no necesariamente se limitan a:</w:t>
      </w:r>
    </w:p>
    <w:p>
      <w:pPr>
        <w:pStyle w:val="BodyText"/>
        <w:spacing w:before="10"/>
        <w:rPr>
          <w:sz w:val="20"/>
        </w:rPr>
      </w:pPr>
    </w:p>
    <w:p>
      <w:pPr>
        <w:pStyle w:val="ListParagraph"/>
        <w:numPr>
          <w:ilvl w:val="2"/>
          <w:numId w:val="2"/>
        </w:numPr>
        <w:tabs>
          <w:tab w:pos="959" w:val="left" w:leader="none"/>
          <w:tab w:pos="960" w:val="left" w:leader="none"/>
        </w:tabs>
        <w:spacing w:line="293" w:lineRule="exact" w:before="0" w:after="0"/>
        <w:ind w:left="960" w:right="0" w:hanging="360"/>
        <w:jc w:val="left"/>
        <w:rPr>
          <w:rFonts w:ascii="Symbol" w:hAnsi="Symbol"/>
          <w:sz w:val="24"/>
        </w:rPr>
      </w:pPr>
      <w:r>
        <w:rPr>
          <w:sz w:val="24"/>
        </w:rPr>
        <w:t>Participación de una meta o decisión para ejercer una Meta de Enfoque (según se describe al</w:t>
      </w:r>
      <w:r>
        <w:rPr>
          <w:spacing w:val="-9"/>
          <w:sz w:val="24"/>
        </w:rPr>
        <w:t> </w:t>
      </w:r>
      <w:r>
        <w:rPr>
          <w:sz w:val="24"/>
        </w:rPr>
        <w:t>seguir)</w:t>
      </w:r>
    </w:p>
    <w:p>
      <w:pPr>
        <w:pStyle w:val="ListParagraph"/>
        <w:numPr>
          <w:ilvl w:val="2"/>
          <w:numId w:val="2"/>
        </w:numPr>
        <w:tabs>
          <w:tab w:pos="959" w:val="left" w:leader="none"/>
          <w:tab w:pos="960" w:val="left" w:leader="none"/>
        </w:tabs>
        <w:spacing w:line="292" w:lineRule="exact" w:before="0" w:after="0"/>
        <w:ind w:left="960" w:right="0" w:hanging="360"/>
        <w:jc w:val="left"/>
        <w:rPr>
          <w:rFonts w:ascii="Symbol" w:hAnsi="Symbol"/>
          <w:sz w:val="24"/>
        </w:rPr>
      </w:pPr>
      <w:r>
        <w:rPr>
          <w:sz w:val="24"/>
        </w:rPr>
        <w:t>Participación de medidas además de las medidas requeridas a nivel</w:t>
      </w:r>
      <w:r>
        <w:rPr>
          <w:spacing w:val="-7"/>
          <w:sz w:val="24"/>
        </w:rPr>
        <w:t> </w:t>
      </w:r>
      <w:r>
        <w:rPr>
          <w:sz w:val="24"/>
        </w:rPr>
        <w:t>reglamentario</w:t>
      </w:r>
    </w:p>
    <w:p>
      <w:pPr>
        <w:pStyle w:val="ListParagraph"/>
        <w:numPr>
          <w:ilvl w:val="2"/>
          <w:numId w:val="2"/>
        </w:numPr>
        <w:tabs>
          <w:tab w:pos="959" w:val="left" w:leader="none"/>
          <w:tab w:pos="960" w:val="left" w:leader="none"/>
        </w:tabs>
        <w:spacing w:line="292" w:lineRule="exact" w:before="0" w:after="0"/>
        <w:ind w:left="960" w:right="0" w:hanging="360"/>
        <w:jc w:val="left"/>
        <w:rPr>
          <w:rFonts w:ascii="Symbol" w:hAnsi="Symbol"/>
          <w:sz w:val="24"/>
        </w:rPr>
      </w:pPr>
      <w:r>
        <w:rPr>
          <w:sz w:val="24"/>
        </w:rPr>
        <w:t>Determinación del resultado deseado en una o más de las</w:t>
      </w:r>
      <w:r>
        <w:rPr>
          <w:spacing w:val="-5"/>
          <w:sz w:val="24"/>
        </w:rPr>
        <w:t> </w:t>
      </w:r>
      <w:r>
        <w:rPr>
          <w:sz w:val="24"/>
        </w:rPr>
        <w:t>medidas</w:t>
      </w:r>
    </w:p>
    <w:p>
      <w:pPr>
        <w:pStyle w:val="ListParagraph"/>
        <w:numPr>
          <w:ilvl w:val="2"/>
          <w:numId w:val="2"/>
        </w:numPr>
        <w:tabs>
          <w:tab w:pos="959" w:val="left" w:leader="none"/>
          <w:tab w:pos="960" w:val="left" w:leader="none"/>
        </w:tabs>
        <w:spacing w:line="292" w:lineRule="exact" w:before="0" w:after="0"/>
        <w:ind w:left="960" w:right="0" w:hanging="360"/>
        <w:jc w:val="left"/>
        <w:rPr>
          <w:rFonts w:ascii="Symbol" w:hAnsi="Symbol"/>
          <w:sz w:val="24"/>
        </w:rPr>
      </w:pPr>
      <w:r>
        <w:rPr>
          <w:sz w:val="24"/>
        </w:rPr>
        <w:t>Participación de desempeño por uno o más de los grupos estudiantiles en la subsección Midiendo y Reportando</w:t>
      </w:r>
      <w:r>
        <w:rPr>
          <w:spacing w:val="-26"/>
          <w:sz w:val="24"/>
        </w:rPr>
        <w:t> </w:t>
      </w:r>
      <w:r>
        <w:rPr>
          <w:sz w:val="24"/>
        </w:rPr>
        <w:t>Resultados</w:t>
      </w:r>
    </w:p>
    <w:p>
      <w:pPr>
        <w:pStyle w:val="ListParagraph"/>
        <w:numPr>
          <w:ilvl w:val="2"/>
          <w:numId w:val="2"/>
        </w:numPr>
        <w:tabs>
          <w:tab w:pos="959" w:val="left" w:leader="none"/>
          <w:tab w:pos="960" w:val="left" w:leader="none"/>
        </w:tabs>
        <w:spacing w:line="292" w:lineRule="exact" w:before="0" w:after="0"/>
        <w:ind w:left="960" w:right="0" w:hanging="360"/>
        <w:jc w:val="left"/>
        <w:rPr>
          <w:rFonts w:ascii="Symbol" w:hAnsi="Symbol"/>
          <w:sz w:val="24"/>
        </w:rPr>
      </w:pPr>
      <w:r>
        <w:rPr>
          <w:sz w:val="24"/>
        </w:rPr>
        <w:t>Participación de acción o un grupo de</w:t>
      </w:r>
      <w:r>
        <w:rPr>
          <w:spacing w:val="-2"/>
          <w:sz w:val="24"/>
        </w:rPr>
        <w:t> </w:t>
      </w:r>
      <w:r>
        <w:rPr>
          <w:sz w:val="24"/>
        </w:rPr>
        <w:t>acciones</w:t>
      </w:r>
    </w:p>
    <w:p>
      <w:pPr>
        <w:pStyle w:val="ListParagraph"/>
        <w:numPr>
          <w:ilvl w:val="2"/>
          <w:numId w:val="2"/>
        </w:numPr>
        <w:tabs>
          <w:tab w:pos="959" w:val="left" w:leader="none"/>
          <w:tab w:pos="960" w:val="left" w:leader="none"/>
        </w:tabs>
        <w:spacing w:line="292" w:lineRule="exact" w:before="0" w:after="0"/>
        <w:ind w:left="960" w:right="0" w:hanging="360"/>
        <w:jc w:val="left"/>
        <w:rPr>
          <w:rFonts w:ascii="Symbol" w:hAnsi="Symbol"/>
          <w:sz w:val="24"/>
        </w:rPr>
      </w:pPr>
      <w:r>
        <w:rPr>
          <w:sz w:val="24"/>
        </w:rPr>
        <w:t>Eliminación de acción o grupo de</w:t>
      </w:r>
      <w:r>
        <w:rPr>
          <w:spacing w:val="-2"/>
          <w:sz w:val="24"/>
        </w:rPr>
        <w:t> </w:t>
      </w:r>
      <w:r>
        <w:rPr>
          <w:sz w:val="24"/>
        </w:rPr>
        <w:t>acciones</w:t>
      </w:r>
    </w:p>
    <w:p>
      <w:pPr>
        <w:pStyle w:val="ListParagraph"/>
        <w:numPr>
          <w:ilvl w:val="2"/>
          <w:numId w:val="2"/>
        </w:numPr>
        <w:tabs>
          <w:tab w:pos="959" w:val="left" w:leader="none"/>
          <w:tab w:pos="960" w:val="left" w:leader="none"/>
        </w:tabs>
        <w:spacing w:line="292" w:lineRule="exact" w:before="0" w:after="0"/>
        <w:ind w:left="960" w:right="0" w:hanging="360"/>
        <w:jc w:val="left"/>
        <w:rPr>
          <w:rFonts w:ascii="Symbol" w:hAnsi="Symbol"/>
          <w:sz w:val="24"/>
        </w:rPr>
      </w:pPr>
      <w:r>
        <w:rPr>
          <w:sz w:val="24"/>
        </w:rPr>
        <w:t>Cambios al nivel de gastos propuestos para uno o más de las</w:t>
      </w:r>
      <w:r>
        <w:rPr>
          <w:spacing w:val="-4"/>
          <w:sz w:val="24"/>
        </w:rPr>
        <w:t> </w:t>
      </w:r>
      <w:r>
        <w:rPr>
          <w:sz w:val="24"/>
        </w:rPr>
        <w:t>acciones</w:t>
      </w:r>
    </w:p>
    <w:p>
      <w:pPr>
        <w:pStyle w:val="ListParagraph"/>
        <w:numPr>
          <w:ilvl w:val="2"/>
          <w:numId w:val="2"/>
        </w:numPr>
        <w:tabs>
          <w:tab w:pos="959" w:val="left" w:leader="none"/>
          <w:tab w:pos="960" w:val="left" w:leader="none"/>
        </w:tabs>
        <w:spacing w:line="293" w:lineRule="exact" w:before="0" w:after="0"/>
        <w:ind w:left="960" w:right="0" w:hanging="360"/>
        <w:jc w:val="left"/>
        <w:rPr>
          <w:rFonts w:ascii="Symbol" w:hAnsi="Symbol"/>
          <w:sz w:val="24"/>
        </w:rPr>
      </w:pPr>
      <w:r>
        <w:rPr>
          <w:sz w:val="24"/>
        </w:rPr>
        <w:t>Participación de acciones como contribuyendo a aumento o mejora de servicios para servicios sin</w:t>
      </w:r>
      <w:r>
        <w:rPr>
          <w:spacing w:val="-11"/>
          <w:sz w:val="24"/>
        </w:rPr>
        <w:t> </w:t>
      </w:r>
      <w:r>
        <w:rPr>
          <w:sz w:val="24"/>
        </w:rPr>
        <w:t>duplicación</w:t>
      </w:r>
    </w:p>
    <w:p>
      <w:pPr>
        <w:spacing w:after="0" w:line="293" w:lineRule="exact"/>
        <w:jc w:val="left"/>
        <w:rPr>
          <w:rFonts w:ascii="Symbol" w:hAnsi="Symbol"/>
          <w:sz w:val="24"/>
        </w:rPr>
        <w:sectPr>
          <w:pgSz w:w="15840" w:h="12240" w:orient="landscape"/>
          <w:pgMar w:header="0" w:footer="284" w:top="560" w:bottom="560" w:left="120" w:right="120"/>
        </w:sectPr>
      </w:pPr>
    </w:p>
    <w:p>
      <w:pPr>
        <w:pStyle w:val="ListParagraph"/>
        <w:numPr>
          <w:ilvl w:val="2"/>
          <w:numId w:val="2"/>
        </w:numPr>
        <w:tabs>
          <w:tab w:pos="959" w:val="left" w:leader="none"/>
          <w:tab w:pos="960" w:val="left" w:leader="none"/>
        </w:tabs>
        <w:spacing w:line="293" w:lineRule="exact" w:before="76" w:after="0"/>
        <w:ind w:left="960" w:right="0" w:hanging="360"/>
        <w:jc w:val="left"/>
        <w:rPr>
          <w:rFonts w:ascii="Symbol" w:hAnsi="Symbol"/>
          <w:sz w:val="24"/>
        </w:rPr>
      </w:pPr>
      <w:r>
        <w:rPr>
          <w:sz w:val="24"/>
        </w:rPr>
        <w:t>Determinación de efectividad de acciones específicas para lograr la</w:t>
      </w:r>
      <w:r>
        <w:rPr>
          <w:spacing w:val="-5"/>
          <w:sz w:val="24"/>
        </w:rPr>
        <w:t> </w:t>
      </w:r>
      <w:r>
        <w:rPr>
          <w:sz w:val="24"/>
        </w:rPr>
        <w:t>meta</w:t>
      </w:r>
    </w:p>
    <w:p>
      <w:pPr>
        <w:pStyle w:val="ListParagraph"/>
        <w:numPr>
          <w:ilvl w:val="2"/>
          <w:numId w:val="2"/>
        </w:numPr>
        <w:tabs>
          <w:tab w:pos="959" w:val="left" w:leader="none"/>
          <w:tab w:pos="960" w:val="left" w:leader="none"/>
        </w:tabs>
        <w:spacing w:line="292" w:lineRule="exact" w:before="0" w:after="0"/>
        <w:ind w:left="960" w:right="0" w:hanging="360"/>
        <w:jc w:val="left"/>
        <w:rPr>
          <w:rFonts w:ascii="Symbol" w:hAnsi="Symbol"/>
          <w:sz w:val="24"/>
        </w:rPr>
      </w:pPr>
      <w:r>
        <w:rPr>
          <w:sz w:val="24"/>
        </w:rPr>
        <w:t>Determinación de diferencias materiales en</w:t>
      </w:r>
      <w:r>
        <w:rPr>
          <w:spacing w:val="-2"/>
          <w:sz w:val="24"/>
        </w:rPr>
        <w:t> </w:t>
      </w:r>
      <w:r>
        <w:rPr>
          <w:sz w:val="24"/>
        </w:rPr>
        <w:t>gastos</w:t>
      </w:r>
    </w:p>
    <w:p>
      <w:pPr>
        <w:pStyle w:val="ListParagraph"/>
        <w:numPr>
          <w:ilvl w:val="2"/>
          <w:numId w:val="2"/>
        </w:numPr>
        <w:tabs>
          <w:tab w:pos="959" w:val="left" w:leader="none"/>
          <w:tab w:pos="960" w:val="left" w:leader="none"/>
        </w:tabs>
        <w:spacing w:line="292" w:lineRule="exact" w:before="0" w:after="0"/>
        <w:ind w:left="960" w:right="0" w:hanging="360"/>
        <w:jc w:val="left"/>
        <w:rPr>
          <w:rFonts w:ascii="Symbol" w:hAnsi="Symbol"/>
          <w:sz w:val="24"/>
        </w:rPr>
      </w:pPr>
      <w:r>
        <w:rPr>
          <w:sz w:val="24"/>
        </w:rPr>
        <w:t>Determinación de cambios hechos a una meta para el siguiente año LCAP basado en el proceso de actualización</w:t>
      </w:r>
      <w:r>
        <w:rPr>
          <w:spacing w:val="-24"/>
          <w:sz w:val="24"/>
        </w:rPr>
        <w:t> </w:t>
      </w:r>
      <w:r>
        <w:rPr>
          <w:sz w:val="24"/>
        </w:rPr>
        <w:t>anual</w:t>
      </w:r>
    </w:p>
    <w:p>
      <w:pPr>
        <w:pStyle w:val="ListParagraph"/>
        <w:numPr>
          <w:ilvl w:val="2"/>
          <w:numId w:val="2"/>
        </w:numPr>
        <w:tabs>
          <w:tab w:pos="959" w:val="left" w:leader="none"/>
          <w:tab w:pos="960" w:val="left" w:leader="none"/>
        </w:tabs>
        <w:spacing w:line="293" w:lineRule="exact" w:before="0" w:after="0"/>
        <w:ind w:left="960" w:right="0" w:hanging="360"/>
        <w:jc w:val="left"/>
        <w:rPr>
          <w:rFonts w:ascii="Symbol" w:hAnsi="Symbol"/>
          <w:sz w:val="24"/>
        </w:rPr>
      </w:pPr>
      <w:r>
        <w:rPr>
          <w:sz w:val="24"/>
        </w:rPr>
        <w:t>Determinación de cambios o éxitos en la implementación de</w:t>
      </w:r>
      <w:r>
        <w:rPr>
          <w:spacing w:val="-5"/>
          <w:sz w:val="24"/>
        </w:rPr>
        <w:t> </w:t>
      </w:r>
      <w:r>
        <w:rPr>
          <w:sz w:val="24"/>
        </w:rPr>
        <w:t>acciones</w:t>
      </w:r>
    </w:p>
    <w:p>
      <w:pPr>
        <w:pStyle w:val="BodyText"/>
        <w:spacing w:before="3"/>
        <w:rPr>
          <w:sz w:val="17"/>
        </w:rPr>
      </w:pPr>
      <w:r>
        <w:rPr/>
        <w:pict>
          <v:shape style="position:absolute;margin-left:11.425pt;margin-top:13.029784pt;width:769.15pt;height:27.25pt;mso-position-horizontal-relative:page;mso-position-vertical-relative:paragraph;z-index:-251586560;mso-wrap-distance-left:0;mso-wrap-distance-right:0" type="#_x0000_t202" filled="true" fillcolor="#dbe5f1" stroked="true" strokeweight="2.25pt" strokecolor="#000000">
            <v:textbox inset="0,0,0,0">
              <w:txbxContent>
                <w:p>
                  <w:pPr>
                    <w:spacing w:before="20"/>
                    <w:ind w:left="108" w:right="0" w:firstLine="0"/>
                    <w:jc w:val="left"/>
                    <w:rPr>
                      <w:b/>
                      <w:sz w:val="40"/>
                    </w:rPr>
                  </w:pPr>
                  <w:bookmarkStart w:name="Metas y Acciones" w:id="50"/>
                  <w:bookmarkEnd w:id="50"/>
                  <w:r>
                    <w:rPr/>
                  </w:r>
                  <w:r>
                    <w:rPr>
                      <w:b/>
                      <w:sz w:val="40"/>
                    </w:rPr>
                    <w:t>Metas y Acciones</w:t>
                  </w:r>
                </w:p>
              </w:txbxContent>
            </v:textbox>
            <v:fill type="solid"/>
            <v:stroke dashstyle="solid"/>
            <w10:wrap type="topAndBottom"/>
          </v:shape>
        </w:pict>
      </w:r>
    </w:p>
    <w:p>
      <w:pPr>
        <w:pStyle w:val="Heading3"/>
        <w:spacing w:before="30"/>
      </w:pPr>
      <w:bookmarkStart w:name="Propósito" w:id="51"/>
      <w:bookmarkEnd w:id="51"/>
      <w:r>
        <w:rPr>
          <w:b w:val="0"/>
        </w:rPr>
      </w:r>
      <w:r>
        <w:rPr/>
        <w:t>Propósito</w:t>
      </w:r>
    </w:p>
    <w:p>
      <w:pPr>
        <w:pStyle w:val="BodyText"/>
        <w:spacing w:before="60"/>
        <w:ind w:left="240" w:right="358"/>
      </w:pPr>
      <w:r>
        <w:rPr/>
        <w:t>Metas bien desarrolladas claramente comunicarán a los involucrados que planea lograr el LEA, que planea hacer el LEA a fin de lograr la meta y como el LEA sabrá cuando ha logrado la meta. Una declaración de meta, medidas asociadas y resultados deseados y las acciones incluidas en la meta debe estar alineadas. La explicación sobre porque el LEA incluyó una meta es una oportunidad para que el LEA claramente comunique a los involucrados y el público en general porqué, entre las varias fortalezas y áreas de mejoramiento destacadas por datos de desempeño y estrategias y acciones que pudieran ejercerse, el LEA decidió ejercer esta meta, y las medidas relacionadas, resultados deseados, acciones y gastos.</w:t>
      </w:r>
    </w:p>
    <w:p>
      <w:pPr>
        <w:pStyle w:val="BodyText"/>
        <w:spacing w:before="160"/>
        <w:ind w:left="240" w:right="1051"/>
      </w:pPr>
      <w:r>
        <w:rPr/>
        <w:t>Una meta bien desarrollada puede enfocarse en el desempeño relativo a una mediada o medidas para todos los alumnos, un grupo(s) estudiantil específico, eliminando brechas de desempeño o implementando programas o estrategias deseadas impactar resultados.</w:t>
      </w:r>
    </w:p>
    <w:p>
      <w:pPr>
        <w:pStyle w:val="BodyText"/>
        <w:spacing w:before="160"/>
        <w:ind w:left="240" w:right="984"/>
      </w:pPr>
      <w:r>
        <w:rPr/>
        <w:t>Los LEA deben de evaluar el desempeño de sus grupos estudiantiles al desarrollar metas y las acciones relacionadas para lograr tales metas.</w:t>
      </w:r>
    </w:p>
    <w:p>
      <w:pPr>
        <w:pStyle w:val="Heading3"/>
        <w:spacing w:before="160"/>
      </w:pPr>
      <w:bookmarkStart w:name="Requisitos e Instrucciones" w:id="52"/>
      <w:bookmarkEnd w:id="52"/>
      <w:r>
        <w:rPr>
          <w:b w:val="0"/>
        </w:rPr>
      </w:r>
      <w:r>
        <w:rPr/>
        <w:t>Requisitos e Instrucciones</w:t>
      </w:r>
    </w:p>
    <w:p>
      <w:pPr>
        <w:pStyle w:val="BodyText"/>
        <w:spacing w:before="60"/>
        <w:ind w:left="240" w:right="505"/>
      </w:pPr>
      <w:r>
        <w:rPr/>
        <w:t>Los LEA deben priorizar las metas, acciones específicas y gastos relacionados incluidos dentro del LCAP con una o más de las prioridades estatales. Los LEA deben considerar desempeño en los indicadores estatales o locales, incluyendo sus datos localmente recopilados y reportados para los indicadores locales que son incluidos en la Interfaz (</w:t>
      </w:r>
      <w:r>
        <w:rPr>
          <w:i/>
        </w:rPr>
        <w:t>Dashboard</w:t>
      </w:r>
      <w:r>
        <w:rPr/>
        <w:t>) en determinar si es que y como priorizar sus metas dentro del LCAP.</w:t>
      </w:r>
    </w:p>
    <w:p>
      <w:pPr>
        <w:pStyle w:val="BodyText"/>
        <w:spacing w:before="160"/>
        <w:ind w:left="240"/>
      </w:pPr>
      <w:r>
        <w:rPr/>
        <w:t>A fin de apoyar la priorización de metas, la plantilla LCAP ofrece a los LEA la opción de desarrollar tres distintos tipos de metas:</w:t>
      </w:r>
    </w:p>
    <w:p>
      <w:pPr>
        <w:pStyle w:val="ListParagraph"/>
        <w:numPr>
          <w:ilvl w:val="2"/>
          <w:numId w:val="2"/>
        </w:numPr>
        <w:tabs>
          <w:tab w:pos="959" w:val="left" w:leader="none"/>
          <w:tab w:pos="960" w:val="left" w:leader="none"/>
        </w:tabs>
        <w:spacing w:line="240" w:lineRule="auto" w:before="160" w:after="0"/>
        <w:ind w:left="960" w:right="524" w:hanging="360"/>
        <w:jc w:val="left"/>
        <w:rPr>
          <w:rFonts w:ascii="Symbol" w:hAnsi="Symbol"/>
          <w:sz w:val="22"/>
        </w:rPr>
      </w:pPr>
      <w:r>
        <w:rPr>
          <w:sz w:val="22"/>
        </w:rPr>
        <w:t>Meta de Enfoque: Una Meta de Enfoque es relativamente más concentrada en su alcance y podrá enfocarse en una menor cantidad de medidas para medir mejoramiento. Una declaración de Meta de Enfoque tendrá un plazo y dejará en claro cómo debe medirse la</w:t>
      </w:r>
      <w:r>
        <w:rPr>
          <w:spacing w:val="-16"/>
          <w:sz w:val="22"/>
        </w:rPr>
        <w:t> </w:t>
      </w:r>
      <w:r>
        <w:rPr>
          <w:sz w:val="22"/>
        </w:rPr>
        <w:t>meta.</w:t>
      </w:r>
    </w:p>
    <w:p>
      <w:pPr>
        <w:pStyle w:val="ListParagraph"/>
        <w:numPr>
          <w:ilvl w:val="2"/>
          <w:numId w:val="2"/>
        </w:numPr>
        <w:tabs>
          <w:tab w:pos="959" w:val="left" w:leader="none"/>
          <w:tab w:pos="960" w:val="left" w:leader="none"/>
        </w:tabs>
        <w:spacing w:line="240" w:lineRule="auto" w:before="0" w:after="0"/>
        <w:ind w:left="960" w:right="452" w:hanging="360"/>
        <w:jc w:val="left"/>
        <w:rPr>
          <w:rFonts w:ascii="Symbol" w:hAnsi="Symbol"/>
          <w:sz w:val="22"/>
        </w:rPr>
      </w:pPr>
      <w:r>
        <w:rPr>
          <w:sz w:val="22"/>
        </w:rPr>
        <w:t>Meta</w:t>
      </w:r>
      <w:r>
        <w:rPr>
          <w:spacing w:val="-2"/>
          <w:sz w:val="22"/>
        </w:rPr>
        <w:t> </w:t>
      </w:r>
      <w:r>
        <w:rPr>
          <w:sz w:val="22"/>
        </w:rPr>
        <w:t>General:</w:t>
      </w:r>
      <w:r>
        <w:rPr>
          <w:spacing w:val="-3"/>
          <w:sz w:val="22"/>
        </w:rPr>
        <w:t> </w:t>
      </w:r>
      <w:r>
        <w:rPr>
          <w:sz w:val="22"/>
        </w:rPr>
        <w:t>Una</w:t>
      </w:r>
      <w:r>
        <w:rPr>
          <w:spacing w:val="-2"/>
          <w:sz w:val="22"/>
        </w:rPr>
        <w:t> </w:t>
      </w:r>
      <w:r>
        <w:rPr>
          <w:sz w:val="22"/>
        </w:rPr>
        <w:t>Meta</w:t>
      </w:r>
      <w:r>
        <w:rPr>
          <w:spacing w:val="-1"/>
          <w:sz w:val="22"/>
        </w:rPr>
        <w:t> </w:t>
      </w:r>
      <w:r>
        <w:rPr>
          <w:sz w:val="22"/>
        </w:rPr>
        <w:t>General</w:t>
      </w:r>
      <w:r>
        <w:rPr>
          <w:spacing w:val="-3"/>
          <w:sz w:val="22"/>
        </w:rPr>
        <w:t> </w:t>
      </w:r>
      <w:r>
        <w:rPr>
          <w:sz w:val="22"/>
        </w:rPr>
        <w:t>es</w:t>
      </w:r>
      <w:r>
        <w:rPr>
          <w:spacing w:val="-2"/>
          <w:sz w:val="22"/>
        </w:rPr>
        <w:t> </w:t>
      </w:r>
      <w:r>
        <w:rPr>
          <w:sz w:val="22"/>
        </w:rPr>
        <w:t>relativamente</w:t>
      </w:r>
      <w:r>
        <w:rPr>
          <w:spacing w:val="-2"/>
          <w:sz w:val="22"/>
        </w:rPr>
        <w:t> </w:t>
      </w:r>
      <w:r>
        <w:rPr>
          <w:sz w:val="22"/>
        </w:rPr>
        <w:t>menos</w:t>
      </w:r>
      <w:r>
        <w:rPr>
          <w:spacing w:val="-2"/>
          <w:sz w:val="22"/>
        </w:rPr>
        <w:t> </w:t>
      </w:r>
      <w:r>
        <w:rPr>
          <w:sz w:val="22"/>
        </w:rPr>
        <w:t>concentrada</w:t>
      </w:r>
      <w:r>
        <w:rPr>
          <w:spacing w:val="-3"/>
          <w:sz w:val="22"/>
        </w:rPr>
        <w:t> </w:t>
      </w:r>
      <w:r>
        <w:rPr>
          <w:sz w:val="22"/>
        </w:rPr>
        <w:t>en</w:t>
      </w:r>
      <w:r>
        <w:rPr>
          <w:spacing w:val="-2"/>
          <w:sz w:val="22"/>
        </w:rPr>
        <w:t> </w:t>
      </w:r>
      <w:r>
        <w:rPr>
          <w:sz w:val="22"/>
        </w:rPr>
        <w:t>su</w:t>
      </w:r>
      <w:r>
        <w:rPr>
          <w:spacing w:val="-1"/>
          <w:sz w:val="22"/>
        </w:rPr>
        <w:t> </w:t>
      </w:r>
      <w:r>
        <w:rPr>
          <w:sz w:val="22"/>
        </w:rPr>
        <w:t>alcance</w:t>
      </w:r>
      <w:r>
        <w:rPr>
          <w:spacing w:val="-3"/>
          <w:sz w:val="22"/>
        </w:rPr>
        <w:t> </w:t>
      </w:r>
      <w:r>
        <w:rPr>
          <w:sz w:val="22"/>
        </w:rPr>
        <w:t>y</w:t>
      </w:r>
      <w:r>
        <w:rPr>
          <w:spacing w:val="-2"/>
          <w:sz w:val="22"/>
        </w:rPr>
        <w:t> </w:t>
      </w:r>
      <w:r>
        <w:rPr>
          <w:sz w:val="22"/>
        </w:rPr>
        <w:t>podrá</w:t>
      </w:r>
      <w:r>
        <w:rPr>
          <w:spacing w:val="-1"/>
          <w:sz w:val="22"/>
        </w:rPr>
        <w:t> </w:t>
      </w:r>
      <w:r>
        <w:rPr>
          <w:sz w:val="22"/>
        </w:rPr>
        <w:t>enfocarse</w:t>
      </w:r>
      <w:r>
        <w:rPr>
          <w:spacing w:val="-2"/>
          <w:sz w:val="22"/>
        </w:rPr>
        <w:t> </w:t>
      </w:r>
      <w:r>
        <w:rPr>
          <w:sz w:val="22"/>
        </w:rPr>
        <w:t>en</w:t>
      </w:r>
      <w:r>
        <w:rPr>
          <w:spacing w:val="-2"/>
          <w:sz w:val="22"/>
        </w:rPr>
        <w:t> </w:t>
      </w:r>
      <w:r>
        <w:rPr>
          <w:sz w:val="22"/>
        </w:rPr>
        <w:t>mejorar</w:t>
      </w:r>
      <w:r>
        <w:rPr>
          <w:spacing w:val="-3"/>
          <w:sz w:val="22"/>
        </w:rPr>
        <w:t> </w:t>
      </w:r>
      <w:r>
        <w:rPr>
          <w:sz w:val="22"/>
        </w:rPr>
        <w:t>desempeño</w:t>
      </w:r>
      <w:r>
        <w:rPr>
          <w:spacing w:val="-1"/>
          <w:sz w:val="22"/>
        </w:rPr>
        <w:t> </w:t>
      </w:r>
      <w:r>
        <w:rPr>
          <w:sz w:val="22"/>
        </w:rPr>
        <w:t>a</w:t>
      </w:r>
      <w:r>
        <w:rPr>
          <w:spacing w:val="-2"/>
          <w:sz w:val="22"/>
        </w:rPr>
        <w:t> </w:t>
      </w:r>
      <w:r>
        <w:rPr>
          <w:sz w:val="22"/>
        </w:rPr>
        <w:t>lo</w:t>
      </w:r>
      <w:r>
        <w:rPr>
          <w:spacing w:val="-2"/>
          <w:sz w:val="22"/>
        </w:rPr>
        <w:t> </w:t>
      </w:r>
      <w:r>
        <w:rPr>
          <w:sz w:val="22"/>
        </w:rPr>
        <w:t>largo</w:t>
      </w:r>
      <w:r>
        <w:rPr>
          <w:spacing w:val="-1"/>
          <w:sz w:val="22"/>
        </w:rPr>
        <w:t> </w:t>
      </w:r>
      <w:r>
        <w:rPr>
          <w:sz w:val="22"/>
        </w:rPr>
        <w:t>de</w:t>
      </w:r>
      <w:r>
        <w:rPr>
          <w:spacing w:val="-2"/>
          <w:sz w:val="22"/>
        </w:rPr>
        <w:t> </w:t>
      </w:r>
      <w:r>
        <w:rPr>
          <w:sz w:val="22"/>
        </w:rPr>
        <w:t>una amplia gama de</w:t>
      </w:r>
      <w:r>
        <w:rPr>
          <w:spacing w:val="-2"/>
          <w:sz w:val="22"/>
        </w:rPr>
        <w:t> </w:t>
      </w:r>
      <w:r>
        <w:rPr>
          <w:sz w:val="22"/>
        </w:rPr>
        <w:t>medidas.</w:t>
      </w:r>
    </w:p>
    <w:p>
      <w:pPr>
        <w:pStyle w:val="ListParagraph"/>
        <w:numPr>
          <w:ilvl w:val="2"/>
          <w:numId w:val="2"/>
        </w:numPr>
        <w:tabs>
          <w:tab w:pos="959" w:val="left" w:leader="none"/>
          <w:tab w:pos="960" w:val="left" w:leader="none"/>
        </w:tabs>
        <w:spacing w:line="240" w:lineRule="auto" w:before="0" w:after="0"/>
        <w:ind w:left="960" w:right="1356" w:hanging="360"/>
        <w:jc w:val="left"/>
        <w:rPr>
          <w:rFonts w:ascii="Symbol" w:hAnsi="Symbol"/>
          <w:sz w:val="22"/>
        </w:rPr>
      </w:pPr>
      <w:r>
        <w:rPr>
          <w:sz w:val="22"/>
        </w:rPr>
        <w:t>Meta de Mantenimiento de Progreso: Una Meta de Mantenimiento de Progreso incluye acciones que pueden estar en curso sin cambios significativos y permite que el LEA rastree el progreso en cualquier medida no abordada en las otras metas del</w:t>
      </w:r>
      <w:r>
        <w:rPr>
          <w:spacing w:val="-21"/>
          <w:sz w:val="22"/>
        </w:rPr>
        <w:t> </w:t>
      </w:r>
      <w:r>
        <w:rPr>
          <w:sz w:val="22"/>
        </w:rPr>
        <w:t>LCAP.</w:t>
      </w:r>
    </w:p>
    <w:p>
      <w:pPr>
        <w:pStyle w:val="BodyText"/>
        <w:spacing w:before="5"/>
        <w:rPr>
          <w:sz w:val="20"/>
        </w:rPr>
      </w:pPr>
    </w:p>
    <w:p>
      <w:pPr>
        <w:pStyle w:val="BodyText"/>
        <w:ind w:left="240"/>
      </w:pPr>
      <w:r>
        <w:rPr/>
        <w:t>Como mínimo, el LCAP debe abordar todas las prioridades y medidas asociadas.</w:t>
      </w:r>
    </w:p>
    <w:p>
      <w:pPr>
        <w:pStyle w:val="BodyText"/>
        <w:spacing w:before="10"/>
        <w:rPr>
          <w:sz w:val="20"/>
        </w:rPr>
      </w:pPr>
    </w:p>
    <w:p>
      <w:pPr>
        <w:pStyle w:val="Heading4"/>
        <w:rPr>
          <w:i/>
        </w:rPr>
      </w:pPr>
      <w:bookmarkStart w:name="Metas de Enfoque" w:id="53"/>
      <w:bookmarkEnd w:id="53"/>
      <w:r>
        <w:rPr>
          <w:b w:val="0"/>
          <w:i w:val="0"/>
        </w:rPr>
      </w:r>
      <w:r>
        <w:rPr>
          <w:i/>
        </w:rPr>
        <w:t>Metas de Enfoque</w:t>
      </w:r>
    </w:p>
    <w:p>
      <w:pPr>
        <w:pStyle w:val="BodyText"/>
        <w:ind w:left="240" w:right="478"/>
      </w:pPr>
      <w:r>
        <w:rPr>
          <w:b/>
        </w:rPr>
        <w:t>Descripción de Meta: </w:t>
      </w:r>
      <w:r>
        <w:rPr/>
        <w:t>La descripción proporcionada para una Meta de Enfoque debe ser específica, mensurable y contar con un plazo. Un LEA desarrolla una Meta de Enfoque para abordar áreas de necesidad que podrán requerir o beneficiarse de un enfoque más específico e</w:t>
      </w:r>
    </w:p>
    <w:p>
      <w:pPr>
        <w:spacing w:after="0"/>
        <w:sectPr>
          <w:pgSz w:w="15840" w:h="12240" w:orient="landscape"/>
          <w:pgMar w:header="0" w:footer="284" w:top="560" w:bottom="560" w:left="120" w:right="120"/>
        </w:sectPr>
      </w:pPr>
    </w:p>
    <w:p>
      <w:pPr>
        <w:pStyle w:val="BodyText"/>
        <w:spacing w:before="76"/>
        <w:ind w:left="240" w:right="771"/>
      </w:pPr>
      <w:r>
        <w:rPr/>
        <w:t>intensivo con datos. La Meta de Enfoque puede explícitamente hacer referencia a las medidas por cual se medirá el logro de la meta y el plazo de tiempo dentro del cual el LEA espera lograr la meta.</w:t>
      </w:r>
    </w:p>
    <w:p>
      <w:pPr>
        <w:pStyle w:val="BodyText"/>
        <w:spacing w:before="10"/>
        <w:rPr>
          <w:sz w:val="20"/>
        </w:rPr>
      </w:pPr>
    </w:p>
    <w:p>
      <w:pPr>
        <w:pStyle w:val="BodyText"/>
        <w:ind w:left="240" w:right="344"/>
      </w:pPr>
      <w:r>
        <w:rPr>
          <w:b/>
        </w:rPr>
        <w:t>Explicación sobre porqué el LEA ha desarrollado esta meta: </w:t>
      </w:r>
      <w:r>
        <w:rPr/>
        <w:t>Explique por qué el LEA ha elegido priorizar esta meta. Una explicación debe estar basada en datos de la Interfaz (</w:t>
      </w:r>
      <w:r>
        <w:rPr>
          <w:i/>
        </w:rPr>
        <w:t>Dashboard</w:t>
      </w:r>
      <w:r>
        <w:rPr/>
        <w:t>) u otros datos recopilados localmente. Los LEA deben describir como el LEA identificó esta meta para mayor atención, incluyendo consulta relevante con los involucrados. Los LEA son alentados promover transparencia y entendimiento sobre la decisión para ejercer una meta de enfoque.</w:t>
      </w:r>
    </w:p>
    <w:p>
      <w:pPr>
        <w:pStyle w:val="BodyText"/>
        <w:spacing w:before="10"/>
        <w:rPr>
          <w:sz w:val="20"/>
        </w:rPr>
      </w:pPr>
    </w:p>
    <w:p>
      <w:pPr>
        <w:pStyle w:val="Heading4"/>
        <w:rPr>
          <w:i/>
        </w:rPr>
      </w:pPr>
      <w:bookmarkStart w:name="Meta General" w:id="54"/>
      <w:bookmarkEnd w:id="54"/>
      <w:r>
        <w:rPr>
          <w:b w:val="0"/>
          <w:i w:val="0"/>
        </w:rPr>
      </w:r>
      <w:r>
        <w:rPr>
          <w:i/>
        </w:rPr>
        <w:t>Meta General</w:t>
      </w:r>
    </w:p>
    <w:p>
      <w:pPr>
        <w:pStyle w:val="BodyText"/>
        <w:ind w:left="240" w:right="305"/>
      </w:pPr>
      <w:r>
        <w:rPr>
          <w:b/>
        </w:rPr>
        <w:t>Descripción de Meta: </w:t>
      </w:r>
      <w:r>
        <w:rPr/>
        <w:t>Describa que planea lograr el LEA mediante las acciones incluidas en la meta. La descripción de una meta general se alineará claramente con los deseados resultados mensurables incluidos para la meta. La descripción de la meta organiza las acciones y los resultados deseados de una manera cohesiva y consistente. Una descripción de la meta es suficientemente específica para ser mensurable en términos ya sea cuantitativos o cualitativos. Una meta general no es tan específica como una meta de enfoque. Aunque es suficientemente específica para ser mensurable, hay varias medidas distintas para medir progreso hacia la meta.</w:t>
      </w:r>
    </w:p>
    <w:p>
      <w:pPr>
        <w:pStyle w:val="BodyText"/>
        <w:spacing w:before="10"/>
        <w:rPr>
          <w:sz w:val="20"/>
        </w:rPr>
      </w:pPr>
    </w:p>
    <w:p>
      <w:pPr>
        <w:spacing w:before="0"/>
        <w:ind w:left="240" w:right="1187" w:firstLine="0"/>
        <w:jc w:val="left"/>
        <w:rPr>
          <w:sz w:val="24"/>
        </w:rPr>
      </w:pPr>
      <w:r>
        <w:rPr>
          <w:b/>
          <w:sz w:val="24"/>
        </w:rPr>
        <w:t>Explicación sobre porqué el LEA ha desarrollado esta meta: </w:t>
      </w:r>
      <w:r>
        <w:rPr>
          <w:sz w:val="24"/>
        </w:rPr>
        <w:t>Explique por qué el LEA desarrolló esta meta y como las acciones y medidas agrupadas ayudarán a lograr la meta.</w:t>
      </w:r>
    </w:p>
    <w:p>
      <w:pPr>
        <w:pStyle w:val="BodyText"/>
        <w:spacing w:before="10"/>
        <w:rPr>
          <w:sz w:val="20"/>
        </w:rPr>
      </w:pPr>
    </w:p>
    <w:p>
      <w:pPr>
        <w:pStyle w:val="Heading4"/>
        <w:rPr>
          <w:i/>
        </w:rPr>
      </w:pPr>
      <w:bookmarkStart w:name="Meta de Mantenimiento de Progreso" w:id="55"/>
      <w:bookmarkEnd w:id="55"/>
      <w:r>
        <w:rPr>
          <w:b w:val="0"/>
          <w:i w:val="0"/>
        </w:rPr>
      </w:r>
      <w:r>
        <w:rPr>
          <w:i/>
        </w:rPr>
        <w:t>Meta de Mantenimiento de Progreso</w:t>
      </w:r>
    </w:p>
    <w:p>
      <w:pPr>
        <w:pStyle w:val="BodyText"/>
        <w:ind w:left="240" w:right="318"/>
      </w:pPr>
      <w:r>
        <w:rPr>
          <w:b/>
        </w:rPr>
        <w:t>Descripción de Meta: </w:t>
      </w:r>
      <w:r>
        <w:rPr/>
        <w:t>Describa como el LEA tiene pensado mantener el progreso logrado en las Prioridades Estatales LCFF no abordadas por otras metas en el LCAP. Use este tipo de meta para abordar las prioridades estatales y medidas aplicables no abordadas dentro de otras metas en el LCAP. Las prioridades estatales y medidas por abordarse en esta sección son aquellas por cuales el LEA, en consulta con involucrados, ha determinado mantener acciones y supervisar progreso al enfocarse en esfuerzos de implementación abordados por otras metas en el LCAP.</w:t>
      </w:r>
    </w:p>
    <w:p>
      <w:pPr>
        <w:pStyle w:val="BodyText"/>
        <w:spacing w:before="10"/>
        <w:rPr>
          <w:sz w:val="20"/>
        </w:rPr>
      </w:pPr>
    </w:p>
    <w:p>
      <w:pPr>
        <w:spacing w:before="0"/>
        <w:ind w:left="240" w:right="693" w:firstLine="0"/>
        <w:jc w:val="left"/>
        <w:rPr>
          <w:sz w:val="24"/>
        </w:rPr>
      </w:pPr>
      <w:r>
        <w:rPr>
          <w:b/>
          <w:sz w:val="24"/>
        </w:rPr>
        <w:t>Explicación sobre porqué el LEA ha desarrollado esta meta</w:t>
      </w:r>
      <w:r>
        <w:rPr>
          <w:sz w:val="24"/>
        </w:rPr>
        <w:t>: Explique cómo las acciones sostendrán el progreso ejemplificado por las medidas relacionadas.</w:t>
      </w:r>
    </w:p>
    <w:p>
      <w:pPr>
        <w:pStyle w:val="BodyText"/>
        <w:spacing w:before="10"/>
        <w:rPr>
          <w:sz w:val="20"/>
        </w:rPr>
      </w:pPr>
    </w:p>
    <w:p>
      <w:pPr>
        <w:pStyle w:val="Heading4"/>
        <w:rPr>
          <w:i/>
        </w:rPr>
      </w:pPr>
      <w:bookmarkStart w:name="Midiendo y Reportando Resultados:" w:id="56"/>
      <w:bookmarkEnd w:id="56"/>
      <w:r>
        <w:rPr>
          <w:b w:val="0"/>
          <w:i w:val="0"/>
        </w:rPr>
      </w:r>
      <w:r>
        <w:rPr>
          <w:i/>
        </w:rPr>
        <w:t>Midiendo y Reportando Resultados:</w:t>
      </w:r>
    </w:p>
    <w:p>
      <w:pPr>
        <w:pStyle w:val="BodyText"/>
        <w:ind w:left="240" w:right="250"/>
      </w:pPr>
      <w:r>
        <w:rPr/>
        <w:t>Para cada año LCAP, identifique las medidas que el LEA usará para rastrear progreso hacia los resultados deseados. Los LEA son alentados para identificar medidas para grupos estudiantiles específicas, según corresponda, incluyendo resultados deseados que reflejaran la reducción de cualquier brecha de desempeño actual.</w:t>
      </w:r>
    </w:p>
    <w:p>
      <w:pPr>
        <w:pStyle w:val="BodyText"/>
        <w:spacing w:before="10"/>
        <w:rPr>
          <w:sz w:val="20"/>
        </w:rPr>
      </w:pPr>
    </w:p>
    <w:p>
      <w:pPr>
        <w:pStyle w:val="BodyText"/>
        <w:ind w:left="240" w:right="250"/>
      </w:pPr>
      <w:r>
        <w:rPr/>
        <w:t>Incluya en la columna referente los datos más recientes asociados con esta medida disponible al momento de adopción del LCAP para el primer año en el plan de tres años. Los LEA pueden usar datos según reportados en la Interfaz (</w:t>
      </w:r>
      <w:r>
        <w:rPr>
          <w:i/>
        </w:rPr>
        <w:t>Dashboard</w:t>
      </w:r>
      <w:r>
        <w:rPr/>
        <w:t>) de 2019 para el referente de una medida solo si esos datos representan lo más reciente disponible (p. ej., tasa de graduación de escuela preparatoria).</w:t>
      </w:r>
    </w:p>
    <w:p>
      <w:pPr>
        <w:pStyle w:val="BodyText"/>
        <w:spacing w:before="10"/>
        <w:rPr>
          <w:sz w:val="20"/>
        </w:rPr>
      </w:pPr>
    </w:p>
    <w:p>
      <w:pPr>
        <w:pStyle w:val="BodyText"/>
        <w:ind w:left="240" w:right="317"/>
      </w:pPr>
      <w:r>
        <w:rPr/>
        <w:t>Usando los datos más recientes disponibles podrá incluir repasando datos que está preparando el LEA para entregar al Sistema Longitudinal de Datos de Logro Estudiantil de California (CALPADS, por sus siglas en inglés) o datos que el LEA ha recientemente entregado a CALPADS. Debido a que los resultados finales de 2019-20 en algunas medidas no podrán computarse al momento que se adoptad el LCAP</w:t>
      </w:r>
    </w:p>
    <w:p>
      <w:pPr>
        <w:spacing w:after="0"/>
        <w:sectPr>
          <w:pgSz w:w="15840" w:h="12240" w:orient="landscape"/>
          <w:pgMar w:header="0" w:footer="284" w:top="560" w:bottom="560" w:left="120" w:right="120"/>
        </w:sectPr>
      </w:pPr>
    </w:p>
    <w:p>
      <w:pPr>
        <w:pStyle w:val="BodyText"/>
        <w:spacing w:before="76"/>
        <w:ind w:left="240" w:right="303"/>
      </w:pPr>
      <w:r>
        <w:rPr/>
        <w:t>de 2020-23 (p. ej., tasa de graduación, tasa de suspensión), los datos más recientes disponibles podrán incluir un cálculo de punto en tiempo captado cada año en la misma fecha para propósitos de comparabilidad.</w:t>
      </w:r>
    </w:p>
    <w:p>
      <w:pPr>
        <w:pStyle w:val="BodyText"/>
        <w:spacing w:before="10"/>
        <w:rPr>
          <w:sz w:val="20"/>
        </w:rPr>
      </w:pPr>
    </w:p>
    <w:p>
      <w:pPr>
        <w:pStyle w:val="BodyText"/>
        <w:spacing w:line="448" w:lineRule="auto"/>
        <w:ind w:left="240" w:right="6961"/>
      </w:pPr>
      <w:r>
        <w:rPr/>
        <w:t>Los datos referentes deben permanecer iguales durante el LCAP de tres años. Complete la table de acuerdo con la siguiente:</w:t>
      </w:r>
    </w:p>
    <w:p>
      <w:pPr>
        <w:pStyle w:val="ListParagraph"/>
        <w:numPr>
          <w:ilvl w:val="0"/>
          <w:numId w:val="3"/>
        </w:numPr>
        <w:tabs>
          <w:tab w:pos="959" w:val="left" w:leader="none"/>
          <w:tab w:pos="960" w:val="left" w:leader="none"/>
        </w:tabs>
        <w:spacing w:line="240" w:lineRule="auto" w:before="0" w:after="0"/>
        <w:ind w:left="960" w:right="0" w:hanging="360"/>
        <w:jc w:val="left"/>
        <w:rPr>
          <w:sz w:val="24"/>
        </w:rPr>
      </w:pPr>
      <w:r>
        <w:rPr>
          <w:b/>
          <w:sz w:val="24"/>
        </w:rPr>
        <w:t>Medida</w:t>
      </w:r>
      <w:r>
        <w:rPr>
          <w:sz w:val="24"/>
        </w:rPr>
        <w:t>: Indique como se está midiendo progreso usando una</w:t>
      </w:r>
      <w:r>
        <w:rPr>
          <w:spacing w:val="-6"/>
          <w:sz w:val="24"/>
        </w:rPr>
        <w:t> </w:t>
      </w:r>
      <w:r>
        <w:rPr>
          <w:sz w:val="24"/>
        </w:rPr>
        <w:t>medida.</w:t>
      </w:r>
    </w:p>
    <w:p>
      <w:pPr>
        <w:pStyle w:val="BodyText"/>
        <w:spacing w:before="8"/>
        <w:rPr>
          <w:sz w:val="20"/>
        </w:rPr>
      </w:pPr>
    </w:p>
    <w:p>
      <w:pPr>
        <w:pStyle w:val="ListParagraph"/>
        <w:numPr>
          <w:ilvl w:val="0"/>
          <w:numId w:val="3"/>
        </w:numPr>
        <w:tabs>
          <w:tab w:pos="959" w:val="left" w:leader="none"/>
          <w:tab w:pos="960" w:val="left" w:leader="none"/>
        </w:tabs>
        <w:spacing w:line="240" w:lineRule="auto" w:before="0" w:after="0"/>
        <w:ind w:left="960" w:right="403" w:hanging="360"/>
        <w:jc w:val="left"/>
        <w:rPr>
          <w:sz w:val="24"/>
        </w:rPr>
      </w:pPr>
      <w:r>
        <w:rPr>
          <w:b/>
          <w:sz w:val="24"/>
        </w:rPr>
        <w:t>Referente</w:t>
      </w:r>
      <w:r>
        <w:rPr>
          <w:sz w:val="24"/>
        </w:rPr>
        <w:t>: Incluya el referente al completar el LCAP para 2020-21. Según de describe anteriormente, el referente es los datos más recientes</w:t>
      </w:r>
      <w:r>
        <w:rPr>
          <w:spacing w:val="-4"/>
          <w:sz w:val="24"/>
        </w:rPr>
        <w:t> </w:t>
      </w:r>
      <w:r>
        <w:rPr>
          <w:sz w:val="24"/>
        </w:rPr>
        <w:t>asociados</w:t>
      </w:r>
      <w:r>
        <w:rPr>
          <w:spacing w:val="-2"/>
          <w:sz w:val="24"/>
        </w:rPr>
        <w:t> </w:t>
      </w:r>
      <w:r>
        <w:rPr>
          <w:sz w:val="24"/>
        </w:rPr>
        <w:t>con</w:t>
      </w:r>
      <w:r>
        <w:rPr>
          <w:spacing w:val="-3"/>
          <w:sz w:val="24"/>
        </w:rPr>
        <w:t> </w:t>
      </w:r>
      <w:r>
        <w:rPr>
          <w:sz w:val="24"/>
        </w:rPr>
        <w:t>una</w:t>
      </w:r>
      <w:r>
        <w:rPr>
          <w:spacing w:val="-2"/>
          <w:sz w:val="24"/>
        </w:rPr>
        <w:t> </w:t>
      </w:r>
      <w:r>
        <w:rPr>
          <w:sz w:val="24"/>
        </w:rPr>
        <w:t>medida.</w:t>
      </w:r>
      <w:r>
        <w:rPr>
          <w:spacing w:val="-4"/>
          <w:sz w:val="24"/>
        </w:rPr>
        <w:t> </w:t>
      </w:r>
      <w:r>
        <w:rPr>
          <w:sz w:val="24"/>
        </w:rPr>
        <w:t>Indique</w:t>
      </w:r>
      <w:r>
        <w:rPr>
          <w:spacing w:val="-3"/>
          <w:sz w:val="24"/>
        </w:rPr>
        <w:t> </w:t>
      </w:r>
      <w:r>
        <w:rPr>
          <w:sz w:val="24"/>
        </w:rPr>
        <w:t>el</w:t>
      </w:r>
      <w:r>
        <w:rPr>
          <w:spacing w:val="-2"/>
          <w:sz w:val="24"/>
        </w:rPr>
        <w:t> </w:t>
      </w:r>
      <w:r>
        <w:rPr>
          <w:sz w:val="24"/>
        </w:rPr>
        <w:t>ciclo</w:t>
      </w:r>
      <w:r>
        <w:rPr>
          <w:spacing w:val="-3"/>
          <w:sz w:val="24"/>
        </w:rPr>
        <w:t> </w:t>
      </w:r>
      <w:r>
        <w:rPr>
          <w:sz w:val="24"/>
        </w:rPr>
        <w:t>escolar</w:t>
      </w:r>
      <w:r>
        <w:rPr>
          <w:spacing w:val="-3"/>
          <w:sz w:val="24"/>
        </w:rPr>
        <w:t> </w:t>
      </w:r>
      <w:r>
        <w:rPr>
          <w:sz w:val="24"/>
        </w:rPr>
        <w:t>al</w:t>
      </w:r>
      <w:r>
        <w:rPr>
          <w:spacing w:val="-3"/>
          <w:sz w:val="24"/>
        </w:rPr>
        <w:t> </w:t>
      </w:r>
      <w:r>
        <w:rPr>
          <w:sz w:val="24"/>
        </w:rPr>
        <w:t>cual</w:t>
      </w:r>
      <w:r>
        <w:rPr>
          <w:spacing w:val="-2"/>
          <w:sz w:val="24"/>
        </w:rPr>
        <w:t> </w:t>
      </w:r>
      <w:r>
        <w:rPr>
          <w:sz w:val="24"/>
        </w:rPr>
        <w:t>se</w:t>
      </w:r>
      <w:r>
        <w:rPr>
          <w:spacing w:val="-3"/>
          <w:sz w:val="24"/>
        </w:rPr>
        <w:t> </w:t>
      </w:r>
      <w:r>
        <w:rPr>
          <w:sz w:val="24"/>
        </w:rPr>
        <w:t>aplican</w:t>
      </w:r>
      <w:r>
        <w:rPr>
          <w:spacing w:val="-3"/>
          <w:sz w:val="24"/>
        </w:rPr>
        <w:t> </w:t>
      </w:r>
      <w:r>
        <w:rPr>
          <w:sz w:val="24"/>
        </w:rPr>
        <w:t>los</w:t>
      </w:r>
      <w:r>
        <w:rPr>
          <w:spacing w:val="-2"/>
          <w:sz w:val="24"/>
        </w:rPr>
        <w:t> </w:t>
      </w:r>
      <w:r>
        <w:rPr>
          <w:sz w:val="24"/>
        </w:rPr>
        <w:t>datos,</w:t>
      </w:r>
      <w:r>
        <w:rPr>
          <w:spacing w:val="-3"/>
          <w:sz w:val="24"/>
        </w:rPr>
        <w:t> </w:t>
      </w:r>
      <w:r>
        <w:rPr>
          <w:sz w:val="24"/>
        </w:rPr>
        <w:t>consistente</w:t>
      </w:r>
      <w:r>
        <w:rPr>
          <w:spacing w:val="-3"/>
          <w:sz w:val="24"/>
        </w:rPr>
        <w:t> </w:t>
      </w:r>
      <w:r>
        <w:rPr>
          <w:sz w:val="24"/>
        </w:rPr>
        <w:t>con</w:t>
      </w:r>
      <w:r>
        <w:rPr>
          <w:spacing w:val="-3"/>
          <w:sz w:val="24"/>
        </w:rPr>
        <w:t> </w:t>
      </w:r>
      <w:r>
        <w:rPr>
          <w:sz w:val="24"/>
        </w:rPr>
        <w:t>las</w:t>
      </w:r>
      <w:r>
        <w:rPr>
          <w:spacing w:val="-2"/>
          <w:sz w:val="24"/>
        </w:rPr>
        <w:t> </w:t>
      </w:r>
      <w:r>
        <w:rPr>
          <w:sz w:val="24"/>
        </w:rPr>
        <w:t>instrucciones</w:t>
      </w:r>
      <w:r>
        <w:rPr>
          <w:spacing w:val="-2"/>
          <w:sz w:val="24"/>
        </w:rPr>
        <w:t> </w:t>
      </w:r>
      <w:r>
        <w:rPr>
          <w:sz w:val="24"/>
        </w:rPr>
        <w:t>anteriores.</w:t>
      </w:r>
    </w:p>
    <w:p>
      <w:pPr>
        <w:pStyle w:val="BodyText"/>
        <w:spacing w:before="9"/>
        <w:rPr>
          <w:sz w:val="20"/>
        </w:rPr>
      </w:pPr>
    </w:p>
    <w:p>
      <w:pPr>
        <w:pStyle w:val="ListParagraph"/>
        <w:numPr>
          <w:ilvl w:val="0"/>
          <w:numId w:val="3"/>
        </w:numPr>
        <w:tabs>
          <w:tab w:pos="959" w:val="left" w:leader="none"/>
          <w:tab w:pos="960" w:val="left" w:leader="none"/>
        </w:tabs>
        <w:spacing w:line="240" w:lineRule="auto" w:before="0" w:after="0"/>
        <w:ind w:left="960" w:right="431" w:hanging="360"/>
        <w:jc w:val="left"/>
        <w:rPr>
          <w:sz w:val="24"/>
        </w:rPr>
      </w:pPr>
      <w:r>
        <w:rPr>
          <w:b/>
          <w:sz w:val="24"/>
        </w:rPr>
        <w:t>Resultado de Año 1</w:t>
      </w:r>
      <w:r>
        <w:rPr>
          <w:sz w:val="24"/>
        </w:rPr>
        <w:t>: Al completar el LCAP para 2021-22, incluya los datos más recientes disponibles. Indique el ciclo escolar al cual se aplican los datos, consistente con las instrucciones</w:t>
      </w:r>
      <w:r>
        <w:rPr>
          <w:spacing w:val="-5"/>
          <w:sz w:val="24"/>
        </w:rPr>
        <w:t> </w:t>
      </w:r>
      <w:r>
        <w:rPr>
          <w:sz w:val="24"/>
        </w:rPr>
        <w:t>anteriores.</w:t>
      </w:r>
    </w:p>
    <w:p>
      <w:pPr>
        <w:pStyle w:val="BodyText"/>
        <w:spacing w:before="9"/>
        <w:rPr>
          <w:sz w:val="20"/>
        </w:rPr>
      </w:pPr>
    </w:p>
    <w:p>
      <w:pPr>
        <w:pStyle w:val="ListParagraph"/>
        <w:numPr>
          <w:ilvl w:val="0"/>
          <w:numId w:val="3"/>
        </w:numPr>
        <w:tabs>
          <w:tab w:pos="959" w:val="left" w:leader="none"/>
          <w:tab w:pos="960" w:val="left" w:leader="none"/>
        </w:tabs>
        <w:spacing w:line="240" w:lineRule="auto" w:before="0" w:after="0"/>
        <w:ind w:left="960" w:right="431" w:hanging="360"/>
        <w:jc w:val="left"/>
        <w:rPr>
          <w:sz w:val="24"/>
        </w:rPr>
      </w:pPr>
      <w:r>
        <w:rPr>
          <w:b/>
          <w:sz w:val="24"/>
        </w:rPr>
        <w:t>Resultado de Año 2</w:t>
      </w:r>
      <w:r>
        <w:rPr>
          <w:sz w:val="24"/>
        </w:rPr>
        <w:t>: Al completar el LCAP para 2022-23, incluya los datos más recientes disponibles. Indique el ciclo escolar al cual se aplican los datos, consistente con las instrucciones</w:t>
      </w:r>
      <w:r>
        <w:rPr>
          <w:spacing w:val="-5"/>
          <w:sz w:val="24"/>
        </w:rPr>
        <w:t> </w:t>
      </w:r>
      <w:r>
        <w:rPr>
          <w:sz w:val="24"/>
        </w:rPr>
        <w:t>anteriores.</w:t>
      </w:r>
    </w:p>
    <w:p>
      <w:pPr>
        <w:pStyle w:val="BodyText"/>
        <w:spacing w:before="9"/>
        <w:rPr>
          <w:sz w:val="20"/>
        </w:rPr>
      </w:pPr>
    </w:p>
    <w:p>
      <w:pPr>
        <w:pStyle w:val="ListParagraph"/>
        <w:numPr>
          <w:ilvl w:val="0"/>
          <w:numId w:val="3"/>
        </w:numPr>
        <w:tabs>
          <w:tab w:pos="959" w:val="left" w:leader="none"/>
          <w:tab w:pos="960" w:val="left" w:leader="none"/>
        </w:tabs>
        <w:spacing w:line="240" w:lineRule="auto" w:before="0" w:after="0"/>
        <w:ind w:left="960" w:right="431" w:hanging="360"/>
        <w:jc w:val="left"/>
        <w:rPr>
          <w:sz w:val="24"/>
        </w:rPr>
      </w:pPr>
      <w:r>
        <w:rPr>
          <w:b/>
          <w:sz w:val="24"/>
        </w:rPr>
        <w:t>Resultado de Año 3</w:t>
      </w:r>
      <w:r>
        <w:rPr>
          <w:sz w:val="24"/>
        </w:rPr>
        <w:t>: Al completar el LCAP para 2023-24, incluya los datos más recientes disponibles. Indique el ciclo escolar al cual se aplican los datos, consistente con las instrucciones anteriores. El LCAP de 2023-24 será el primer año en el próximo ciclo de tres años. Completando esta columna será parte de la Actualización Anual para aquel</w:t>
      </w:r>
      <w:r>
        <w:rPr>
          <w:spacing w:val="-9"/>
          <w:sz w:val="24"/>
        </w:rPr>
        <w:t> </w:t>
      </w:r>
      <w:r>
        <w:rPr>
          <w:sz w:val="24"/>
        </w:rPr>
        <w:t>año.</w:t>
      </w:r>
    </w:p>
    <w:p>
      <w:pPr>
        <w:pStyle w:val="BodyText"/>
        <w:spacing w:before="9"/>
        <w:rPr>
          <w:sz w:val="20"/>
        </w:rPr>
      </w:pPr>
    </w:p>
    <w:p>
      <w:pPr>
        <w:pStyle w:val="ListParagraph"/>
        <w:numPr>
          <w:ilvl w:val="0"/>
          <w:numId w:val="3"/>
        </w:numPr>
        <w:tabs>
          <w:tab w:pos="959" w:val="left" w:leader="none"/>
          <w:tab w:pos="960" w:val="left" w:leader="none"/>
        </w:tabs>
        <w:spacing w:line="240" w:lineRule="auto" w:before="0" w:after="0"/>
        <w:ind w:left="960" w:right="390" w:hanging="360"/>
        <w:jc w:val="left"/>
        <w:rPr>
          <w:sz w:val="24"/>
        </w:rPr>
      </w:pPr>
      <w:r>
        <w:rPr>
          <w:b/>
          <w:sz w:val="24"/>
        </w:rPr>
        <w:t>Resultado Deseados para 2022-23</w:t>
      </w:r>
      <w:r>
        <w:rPr>
          <w:sz w:val="24"/>
        </w:rPr>
        <w:t>: Al completar el primer año del LCAP, incluya el resultado deseado para la medida relevante que el LEA espera lograr para el final del año LCAP</w:t>
      </w:r>
      <w:r>
        <w:rPr>
          <w:spacing w:val="-4"/>
          <w:sz w:val="24"/>
        </w:rPr>
        <w:t> </w:t>
      </w:r>
      <w:r>
        <w:rPr>
          <w:sz w:val="24"/>
        </w:rPr>
        <w:t>2022-23.</w:t>
      </w:r>
    </w:p>
    <w:p>
      <w:pPr>
        <w:spacing w:after="0" w:line="240" w:lineRule="auto"/>
        <w:jc w:val="left"/>
        <w:rPr>
          <w:sz w:val="24"/>
        </w:rPr>
        <w:sectPr>
          <w:pgSz w:w="15840" w:h="12240" w:orient="landscape"/>
          <w:pgMar w:header="0" w:footer="284" w:top="560" w:bottom="560" w:left="120" w:right="120"/>
        </w:sectPr>
      </w:pPr>
    </w:p>
    <w:p>
      <w:pPr>
        <w:spacing w:before="76"/>
        <w:ind w:left="240" w:right="0" w:firstLine="0"/>
        <w:jc w:val="left"/>
        <w:rPr>
          <w:sz w:val="24"/>
        </w:rPr>
      </w:pPr>
      <w:r>
        <w:rPr>
          <w:sz w:val="24"/>
        </w:rPr>
        <w:t>Plazo para completar la parte “</w:t>
      </w:r>
      <w:r>
        <w:rPr>
          <w:b/>
          <w:sz w:val="24"/>
        </w:rPr>
        <w:t>Midiendo y Reportando Resultados</w:t>
      </w:r>
      <w:r>
        <w:rPr>
          <w:sz w:val="24"/>
        </w:rPr>
        <w:t>” de la Meta.</w:t>
      </w:r>
    </w:p>
    <w:p>
      <w:pPr>
        <w:pStyle w:val="BodyText"/>
        <w:spacing w:before="10"/>
        <w:rPr>
          <w:sz w:val="20"/>
        </w:rPr>
      </w:pPr>
    </w:p>
    <w:tbl>
      <w:tblPr>
        <w:tblW w:w="0" w:type="auto"/>
        <w:jc w:val="left"/>
        <w:tblInd w:w="1332" w:type="dxa"/>
        <w:tblBorders>
          <w:top w:val="single" w:sz="4" w:space="0" w:color="8496B0"/>
          <w:left w:val="single" w:sz="4" w:space="0" w:color="8496B0"/>
          <w:bottom w:val="single" w:sz="4" w:space="0" w:color="8496B0"/>
          <w:right w:val="single" w:sz="4" w:space="0" w:color="8496B0"/>
          <w:insideH w:val="single" w:sz="4" w:space="0" w:color="8496B0"/>
          <w:insideV w:val="single" w:sz="4" w:space="0" w:color="8496B0"/>
        </w:tblBorders>
        <w:tblLayout w:type="fixed"/>
        <w:tblCellMar>
          <w:top w:w="0" w:type="dxa"/>
          <w:left w:w="0" w:type="dxa"/>
          <w:bottom w:w="0" w:type="dxa"/>
          <w:right w:w="0" w:type="dxa"/>
        </w:tblCellMar>
        <w:tblLook w:val="01E0"/>
      </w:tblPr>
      <w:tblGrid>
        <w:gridCol w:w="2173"/>
        <w:gridCol w:w="2154"/>
        <w:gridCol w:w="2155"/>
        <w:gridCol w:w="2154"/>
        <w:gridCol w:w="2154"/>
        <w:gridCol w:w="2155"/>
      </w:tblGrid>
      <w:tr>
        <w:trPr>
          <w:trHeight w:val="1581" w:hRule="atLeast"/>
        </w:trPr>
        <w:tc>
          <w:tcPr>
            <w:tcW w:w="2173" w:type="dxa"/>
            <w:shd w:val="clear" w:color="auto" w:fill="DBE5F1"/>
          </w:tcPr>
          <w:p>
            <w:pPr>
              <w:pStyle w:val="TableParagraph"/>
              <w:rPr>
                <w:sz w:val="26"/>
              </w:rPr>
            </w:pPr>
          </w:p>
          <w:p>
            <w:pPr>
              <w:pStyle w:val="TableParagraph"/>
              <w:spacing w:before="4"/>
              <w:rPr>
                <w:sz w:val="20"/>
              </w:rPr>
            </w:pPr>
          </w:p>
          <w:p>
            <w:pPr>
              <w:pStyle w:val="TableParagraph"/>
              <w:ind w:left="692"/>
              <w:rPr>
                <w:sz w:val="24"/>
              </w:rPr>
            </w:pPr>
            <w:r>
              <w:rPr>
                <w:sz w:val="24"/>
              </w:rPr>
              <w:t>Medida</w:t>
            </w:r>
          </w:p>
        </w:tc>
        <w:tc>
          <w:tcPr>
            <w:tcW w:w="2154" w:type="dxa"/>
            <w:shd w:val="clear" w:color="auto" w:fill="DBE5F1"/>
          </w:tcPr>
          <w:p>
            <w:pPr>
              <w:pStyle w:val="TableParagraph"/>
              <w:rPr>
                <w:sz w:val="26"/>
              </w:rPr>
            </w:pPr>
          </w:p>
          <w:p>
            <w:pPr>
              <w:pStyle w:val="TableParagraph"/>
              <w:spacing w:before="4"/>
              <w:rPr>
                <w:sz w:val="20"/>
              </w:rPr>
            </w:pPr>
          </w:p>
          <w:p>
            <w:pPr>
              <w:pStyle w:val="TableParagraph"/>
              <w:ind w:left="550"/>
              <w:rPr>
                <w:sz w:val="24"/>
              </w:rPr>
            </w:pPr>
            <w:r>
              <w:rPr>
                <w:sz w:val="24"/>
              </w:rPr>
              <w:t>Referente</w:t>
            </w:r>
          </w:p>
        </w:tc>
        <w:tc>
          <w:tcPr>
            <w:tcW w:w="2155" w:type="dxa"/>
            <w:shd w:val="clear" w:color="auto" w:fill="DBE5F1"/>
          </w:tcPr>
          <w:p>
            <w:pPr>
              <w:pStyle w:val="TableParagraph"/>
              <w:spacing w:before="10"/>
              <w:rPr>
                <w:sz w:val="30"/>
              </w:rPr>
            </w:pPr>
          </w:p>
          <w:p>
            <w:pPr>
              <w:pStyle w:val="TableParagraph"/>
              <w:spacing w:line="309" w:lineRule="auto"/>
              <w:ind w:left="1010" w:right="94" w:hanging="888"/>
              <w:rPr>
                <w:sz w:val="24"/>
              </w:rPr>
            </w:pPr>
            <w:r>
              <w:rPr>
                <w:sz w:val="24"/>
              </w:rPr>
              <w:t>Resultado de Año 1</w:t>
            </w:r>
          </w:p>
        </w:tc>
        <w:tc>
          <w:tcPr>
            <w:tcW w:w="2154" w:type="dxa"/>
            <w:shd w:val="clear" w:color="auto" w:fill="DBE5F1"/>
          </w:tcPr>
          <w:p>
            <w:pPr>
              <w:pStyle w:val="TableParagraph"/>
              <w:spacing w:before="10"/>
              <w:rPr>
                <w:sz w:val="30"/>
              </w:rPr>
            </w:pPr>
          </w:p>
          <w:p>
            <w:pPr>
              <w:pStyle w:val="TableParagraph"/>
              <w:spacing w:line="309" w:lineRule="auto"/>
              <w:ind w:left="1010" w:right="93" w:hanging="888"/>
              <w:rPr>
                <w:sz w:val="24"/>
              </w:rPr>
            </w:pPr>
            <w:r>
              <w:rPr>
                <w:sz w:val="24"/>
              </w:rPr>
              <w:t>Resultado de Año 2</w:t>
            </w:r>
          </w:p>
        </w:tc>
        <w:tc>
          <w:tcPr>
            <w:tcW w:w="2154" w:type="dxa"/>
            <w:shd w:val="clear" w:color="auto" w:fill="DBE5F1"/>
          </w:tcPr>
          <w:p>
            <w:pPr>
              <w:pStyle w:val="TableParagraph"/>
              <w:spacing w:before="10"/>
              <w:rPr>
                <w:sz w:val="30"/>
              </w:rPr>
            </w:pPr>
          </w:p>
          <w:p>
            <w:pPr>
              <w:pStyle w:val="TableParagraph"/>
              <w:spacing w:line="309" w:lineRule="auto"/>
              <w:ind w:left="1010" w:right="93" w:hanging="888"/>
              <w:rPr>
                <w:sz w:val="24"/>
              </w:rPr>
            </w:pPr>
            <w:r>
              <w:rPr>
                <w:sz w:val="24"/>
              </w:rPr>
              <w:t>Resultado de Año 3</w:t>
            </w:r>
          </w:p>
        </w:tc>
        <w:tc>
          <w:tcPr>
            <w:tcW w:w="2155" w:type="dxa"/>
            <w:shd w:val="clear" w:color="auto" w:fill="DBE5F1"/>
          </w:tcPr>
          <w:p>
            <w:pPr>
              <w:pStyle w:val="TableParagraph"/>
              <w:spacing w:line="309" w:lineRule="auto"/>
              <w:ind w:left="323" w:right="311"/>
              <w:jc w:val="center"/>
              <w:rPr>
                <w:sz w:val="24"/>
              </w:rPr>
            </w:pPr>
            <w:r>
              <w:rPr>
                <w:sz w:val="24"/>
              </w:rPr>
              <w:t>Resultado Deseado para Año 3</w:t>
            </w:r>
          </w:p>
          <w:p>
            <w:pPr>
              <w:pStyle w:val="TableParagraph"/>
              <w:spacing w:line="274" w:lineRule="exact"/>
              <w:ind w:left="321" w:right="311"/>
              <w:jc w:val="center"/>
              <w:rPr>
                <w:sz w:val="24"/>
              </w:rPr>
            </w:pPr>
            <w:r>
              <w:rPr>
                <w:sz w:val="24"/>
              </w:rPr>
              <w:t>(2023-24)</w:t>
            </w:r>
          </w:p>
        </w:tc>
      </w:tr>
      <w:tr>
        <w:trPr>
          <w:trHeight w:val="319" w:hRule="atLeast"/>
        </w:trPr>
        <w:tc>
          <w:tcPr>
            <w:tcW w:w="2173" w:type="dxa"/>
            <w:tcBorders>
              <w:bottom w:val="nil"/>
            </w:tcBorders>
          </w:tcPr>
          <w:p>
            <w:pPr>
              <w:pStyle w:val="TableParagraph"/>
              <w:rPr>
                <w:rFonts w:ascii="Times New Roman"/>
                <w:sz w:val="22"/>
              </w:rPr>
            </w:pPr>
          </w:p>
        </w:tc>
        <w:tc>
          <w:tcPr>
            <w:tcW w:w="2154" w:type="dxa"/>
            <w:tcBorders>
              <w:bottom w:val="nil"/>
            </w:tcBorders>
          </w:tcPr>
          <w:p>
            <w:pPr>
              <w:pStyle w:val="TableParagraph"/>
              <w:rPr>
                <w:rFonts w:ascii="Times New Roman"/>
                <w:sz w:val="22"/>
              </w:rPr>
            </w:pPr>
          </w:p>
        </w:tc>
        <w:tc>
          <w:tcPr>
            <w:tcW w:w="2155" w:type="dxa"/>
            <w:tcBorders>
              <w:bottom w:val="nil"/>
            </w:tcBorders>
          </w:tcPr>
          <w:p>
            <w:pPr>
              <w:pStyle w:val="TableParagraph"/>
              <w:ind w:left="108"/>
              <w:rPr>
                <w:sz w:val="24"/>
              </w:rPr>
            </w:pPr>
            <w:r>
              <w:rPr>
                <w:sz w:val="24"/>
              </w:rPr>
              <w:t>Incluya</w:t>
            </w:r>
          </w:p>
        </w:tc>
        <w:tc>
          <w:tcPr>
            <w:tcW w:w="2154" w:type="dxa"/>
            <w:tcBorders>
              <w:bottom w:val="nil"/>
            </w:tcBorders>
          </w:tcPr>
          <w:p>
            <w:pPr>
              <w:pStyle w:val="TableParagraph"/>
              <w:ind w:left="108"/>
              <w:rPr>
                <w:sz w:val="24"/>
              </w:rPr>
            </w:pPr>
            <w:r>
              <w:rPr>
                <w:sz w:val="24"/>
              </w:rPr>
              <w:t>Incluya</w:t>
            </w:r>
          </w:p>
        </w:tc>
        <w:tc>
          <w:tcPr>
            <w:tcW w:w="2154" w:type="dxa"/>
            <w:tcBorders>
              <w:bottom w:val="nil"/>
            </w:tcBorders>
          </w:tcPr>
          <w:p>
            <w:pPr>
              <w:pStyle w:val="TableParagraph"/>
              <w:ind w:left="107"/>
              <w:rPr>
                <w:sz w:val="24"/>
              </w:rPr>
            </w:pPr>
            <w:r>
              <w:rPr>
                <w:sz w:val="24"/>
              </w:rPr>
              <w:t>Incluya</w:t>
            </w:r>
          </w:p>
        </w:tc>
        <w:tc>
          <w:tcPr>
            <w:tcW w:w="2155" w:type="dxa"/>
            <w:tcBorders>
              <w:bottom w:val="nil"/>
            </w:tcBorders>
          </w:tcPr>
          <w:p>
            <w:pPr>
              <w:pStyle w:val="TableParagraph"/>
              <w:rPr>
                <w:rFonts w:ascii="Times New Roman"/>
                <w:sz w:val="22"/>
              </w:rPr>
            </w:pPr>
          </w:p>
        </w:tc>
      </w:tr>
      <w:tr>
        <w:trPr>
          <w:trHeight w:val="355" w:hRule="atLeast"/>
        </w:trPr>
        <w:tc>
          <w:tcPr>
            <w:tcW w:w="2173" w:type="dxa"/>
            <w:tcBorders>
              <w:top w:val="nil"/>
              <w:bottom w:val="nil"/>
            </w:tcBorders>
          </w:tcPr>
          <w:p>
            <w:pPr>
              <w:pStyle w:val="TableParagraph"/>
              <w:spacing w:before="35"/>
              <w:ind w:left="108"/>
              <w:rPr>
                <w:sz w:val="24"/>
              </w:rPr>
            </w:pPr>
            <w:r>
              <w:rPr>
                <w:sz w:val="24"/>
              </w:rPr>
              <w:t>Incluya</w:t>
            </w:r>
          </w:p>
        </w:tc>
        <w:tc>
          <w:tcPr>
            <w:tcW w:w="2154" w:type="dxa"/>
            <w:tcBorders>
              <w:top w:val="nil"/>
              <w:bottom w:val="nil"/>
            </w:tcBorders>
          </w:tcPr>
          <w:p>
            <w:pPr>
              <w:pStyle w:val="TableParagraph"/>
              <w:spacing w:before="35"/>
              <w:ind w:left="108"/>
              <w:rPr>
                <w:sz w:val="24"/>
              </w:rPr>
            </w:pPr>
            <w:r>
              <w:rPr>
                <w:sz w:val="24"/>
              </w:rPr>
              <w:t>Incluya</w:t>
            </w:r>
          </w:p>
        </w:tc>
        <w:tc>
          <w:tcPr>
            <w:tcW w:w="2155" w:type="dxa"/>
            <w:tcBorders>
              <w:top w:val="nil"/>
              <w:bottom w:val="nil"/>
            </w:tcBorders>
          </w:tcPr>
          <w:p>
            <w:pPr>
              <w:pStyle w:val="TableParagraph"/>
              <w:tabs>
                <w:tab w:pos="1779" w:val="left" w:leader="none"/>
              </w:tabs>
              <w:spacing w:before="35"/>
              <w:ind w:left="108"/>
              <w:rPr>
                <w:sz w:val="24"/>
              </w:rPr>
            </w:pPr>
            <w:r>
              <w:rPr>
                <w:sz w:val="24"/>
              </w:rPr>
              <w:t>información</w:t>
              <w:tab/>
              <w:t>en</w:t>
            </w:r>
          </w:p>
        </w:tc>
        <w:tc>
          <w:tcPr>
            <w:tcW w:w="2154" w:type="dxa"/>
            <w:tcBorders>
              <w:top w:val="nil"/>
              <w:bottom w:val="nil"/>
            </w:tcBorders>
          </w:tcPr>
          <w:p>
            <w:pPr>
              <w:pStyle w:val="TableParagraph"/>
              <w:tabs>
                <w:tab w:pos="1778" w:val="left" w:leader="none"/>
              </w:tabs>
              <w:spacing w:before="35"/>
              <w:ind w:left="108"/>
              <w:rPr>
                <w:sz w:val="24"/>
              </w:rPr>
            </w:pPr>
            <w:r>
              <w:rPr>
                <w:sz w:val="24"/>
              </w:rPr>
              <w:t>información</w:t>
              <w:tab/>
              <w:t>en</w:t>
            </w:r>
          </w:p>
        </w:tc>
        <w:tc>
          <w:tcPr>
            <w:tcW w:w="2154" w:type="dxa"/>
            <w:tcBorders>
              <w:top w:val="nil"/>
              <w:bottom w:val="nil"/>
            </w:tcBorders>
          </w:tcPr>
          <w:p>
            <w:pPr>
              <w:pStyle w:val="TableParagraph"/>
              <w:tabs>
                <w:tab w:pos="1778" w:val="left" w:leader="none"/>
              </w:tabs>
              <w:spacing w:before="35"/>
              <w:ind w:left="107"/>
              <w:rPr>
                <w:sz w:val="24"/>
              </w:rPr>
            </w:pPr>
            <w:r>
              <w:rPr>
                <w:sz w:val="24"/>
              </w:rPr>
              <w:t>información</w:t>
              <w:tab/>
              <w:t>en</w:t>
            </w:r>
          </w:p>
        </w:tc>
        <w:tc>
          <w:tcPr>
            <w:tcW w:w="2155" w:type="dxa"/>
            <w:tcBorders>
              <w:top w:val="nil"/>
              <w:bottom w:val="nil"/>
            </w:tcBorders>
          </w:tcPr>
          <w:p>
            <w:pPr>
              <w:pStyle w:val="TableParagraph"/>
              <w:spacing w:before="35"/>
              <w:ind w:left="108"/>
              <w:rPr>
                <w:sz w:val="24"/>
              </w:rPr>
            </w:pPr>
            <w:r>
              <w:rPr>
                <w:sz w:val="24"/>
              </w:rPr>
              <w:t>Incluya</w:t>
            </w:r>
          </w:p>
        </w:tc>
      </w:tr>
      <w:tr>
        <w:trPr>
          <w:trHeight w:val="355" w:hRule="atLeast"/>
        </w:trPr>
        <w:tc>
          <w:tcPr>
            <w:tcW w:w="2173" w:type="dxa"/>
            <w:tcBorders>
              <w:top w:val="nil"/>
              <w:bottom w:val="nil"/>
            </w:tcBorders>
          </w:tcPr>
          <w:p>
            <w:pPr>
              <w:pStyle w:val="TableParagraph"/>
              <w:tabs>
                <w:tab w:pos="1797" w:val="left" w:leader="none"/>
              </w:tabs>
              <w:spacing w:before="35"/>
              <w:ind w:left="108"/>
              <w:rPr>
                <w:sz w:val="24"/>
              </w:rPr>
            </w:pPr>
            <w:r>
              <w:rPr>
                <w:sz w:val="24"/>
              </w:rPr>
              <w:t>información</w:t>
              <w:tab/>
              <w:t>en</w:t>
            </w:r>
          </w:p>
        </w:tc>
        <w:tc>
          <w:tcPr>
            <w:tcW w:w="2154" w:type="dxa"/>
            <w:tcBorders>
              <w:top w:val="nil"/>
              <w:bottom w:val="nil"/>
            </w:tcBorders>
          </w:tcPr>
          <w:p>
            <w:pPr>
              <w:pStyle w:val="TableParagraph"/>
              <w:tabs>
                <w:tab w:pos="1778" w:val="left" w:leader="none"/>
              </w:tabs>
              <w:spacing w:before="35"/>
              <w:ind w:left="108"/>
              <w:rPr>
                <w:sz w:val="24"/>
              </w:rPr>
            </w:pPr>
            <w:r>
              <w:rPr>
                <w:sz w:val="24"/>
              </w:rPr>
              <w:t>información</w:t>
              <w:tab/>
              <w:t>en</w:t>
            </w:r>
          </w:p>
        </w:tc>
        <w:tc>
          <w:tcPr>
            <w:tcW w:w="2155" w:type="dxa"/>
            <w:tcBorders>
              <w:top w:val="nil"/>
              <w:bottom w:val="nil"/>
            </w:tcBorders>
          </w:tcPr>
          <w:p>
            <w:pPr>
              <w:pStyle w:val="TableParagraph"/>
              <w:tabs>
                <w:tab w:pos="990" w:val="left" w:leader="none"/>
                <w:tab w:pos="1860" w:val="left" w:leader="none"/>
              </w:tabs>
              <w:spacing w:before="35"/>
              <w:ind w:left="108"/>
              <w:rPr>
                <w:sz w:val="24"/>
              </w:rPr>
            </w:pPr>
            <w:r>
              <w:rPr>
                <w:sz w:val="24"/>
              </w:rPr>
              <w:t>esta</w:t>
              <w:tab/>
              <w:t>caja</w:t>
              <w:tab/>
              <w:t>al</w:t>
            </w:r>
          </w:p>
        </w:tc>
        <w:tc>
          <w:tcPr>
            <w:tcW w:w="2154" w:type="dxa"/>
            <w:tcBorders>
              <w:top w:val="nil"/>
              <w:bottom w:val="nil"/>
            </w:tcBorders>
          </w:tcPr>
          <w:p>
            <w:pPr>
              <w:pStyle w:val="TableParagraph"/>
              <w:tabs>
                <w:tab w:pos="990" w:val="left" w:leader="none"/>
                <w:tab w:pos="1859" w:val="left" w:leader="none"/>
              </w:tabs>
              <w:spacing w:before="35"/>
              <w:ind w:left="108"/>
              <w:rPr>
                <w:sz w:val="24"/>
              </w:rPr>
            </w:pPr>
            <w:r>
              <w:rPr>
                <w:sz w:val="24"/>
              </w:rPr>
              <w:t>esta</w:t>
              <w:tab/>
              <w:t>caja</w:t>
              <w:tab/>
              <w:t>al</w:t>
            </w:r>
          </w:p>
        </w:tc>
        <w:tc>
          <w:tcPr>
            <w:tcW w:w="2154" w:type="dxa"/>
            <w:tcBorders>
              <w:top w:val="nil"/>
              <w:bottom w:val="nil"/>
            </w:tcBorders>
          </w:tcPr>
          <w:p>
            <w:pPr>
              <w:pStyle w:val="TableParagraph"/>
              <w:tabs>
                <w:tab w:pos="990" w:val="left" w:leader="none"/>
                <w:tab w:pos="1859" w:val="left" w:leader="none"/>
              </w:tabs>
              <w:spacing w:before="35"/>
              <w:ind w:left="107"/>
              <w:rPr>
                <w:sz w:val="24"/>
              </w:rPr>
            </w:pPr>
            <w:r>
              <w:rPr>
                <w:sz w:val="24"/>
              </w:rPr>
              <w:t>esta</w:t>
              <w:tab/>
              <w:t>caja</w:t>
              <w:tab/>
              <w:t>al</w:t>
            </w:r>
          </w:p>
        </w:tc>
        <w:tc>
          <w:tcPr>
            <w:tcW w:w="2155" w:type="dxa"/>
            <w:tcBorders>
              <w:top w:val="nil"/>
              <w:bottom w:val="nil"/>
            </w:tcBorders>
          </w:tcPr>
          <w:p>
            <w:pPr>
              <w:pStyle w:val="TableParagraph"/>
              <w:tabs>
                <w:tab w:pos="1779" w:val="left" w:leader="none"/>
              </w:tabs>
              <w:spacing w:before="35"/>
              <w:ind w:left="108"/>
              <w:rPr>
                <w:sz w:val="24"/>
              </w:rPr>
            </w:pPr>
            <w:r>
              <w:rPr>
                <w:sz w:val="24"/>
              </w:rPr>
              <w:t>información</w:t>
              <w:tab/>
              <w:t>en</w:t>
            </w:r>
          </w:p>
        </w:tc>
      </w:tr>
      <w:tr>
        <w:trPr>
          <w:trHeight w:val="355" w:hRule="atLeast"/>
        </w:trPr>
        <w:tc>
          <w:tcPr>
            <w:tcW w:w="2173" w:type="dxa"/>
            <w:tcBorders>
              <w:top w:val="nil"/>
              <w:bottom w:val="nil"/>
            </w:tcBorders>
          </w:tcPr>
          <w:p>
            <w:pPr>
              <w:pStyle w:val="TableParagraph"/>
              <w:tabs>
                <w:tab w:pos="999" w:val="left" w:leader="none"/>
                <w:tab w:pos="1878" w:val="left" w:leader="none"/>
              </w:tabs>
              <w:spacing w:before="35"/>
              <w:ind w:left="108"/>
              <w:rPr>
                <w:sz w:val="24"/>
              </w:rPr>
            </w:pPr>
            <w:r>
              <w:rPr>
                <w:sz w:val="24"/>
              </w:rPr>
              <w:t>esta</w:t>
              <w:tab/>
              <w:t>caja</w:t>
              <w:tab/>
              <w:t>al</w:t>
            </w:r>
          </w:p>
        </w:tc>
        <w:tc>
          <w:tcPr>
            <w:tcW w:w="2154" w:type="dxa"/>
            <w:tcBorders>
              <w:top w:val="nil"/>
              <w:bottom w:val="nil"/>
            </w:tcBorders>
          </w:tcPr>
          <w:p>
            <w:pPr>
              <w:pStyle w:val="TableParagraph"/>
              <w:tabs>
                <w:tab w:pos="990" w:val="left" w:leader="none"/>
                <w:tab w:pos="1859" w:val="left" w:leader="none"/>
              </w:tabs>
              <w:spacing w:before="35"/>
              <w:ind w:left="108"/>
              <w:rPr>
                <w:sz w:val="24"/>
              </w:rPr>
            </w:pPr>
            <w:r>
              <w:rPr>
                <w:sz w:val="24"/>
              </w:rPr>
              <w:t>esta</w:t>
              <w:tab/>
              <w:t>caja</w:t>
              <w:tab/>
              <w:t>al</w:t>
            </w:r>
          </w:p>
        </w:tc>
        <w:tc>
          <w:tcPr>
            <w:tcW w:w="2155" w:type="dxa"/>
            <w:tcBorders>
              <w:top w:val="nil"/>
              <w:bottom w:val="nil"/>
            </w:tcBorders>
          </w:tcPr>
          <w:p>
            <w:pPr>
              <w:pStyle w:val="TableParagraph"/>
              <w:tabs>
                <w:tab w:pos="1860" w:val="left" w:leader="none"/>
              </w:tabs>
              <w:spacing w:before="35"/>
              <w:ind w:left="108"/>
              <w:rPr>
                <w:sz w:val="24"/>
              </w:rPr>
            </w:pPr>
            <w:r>
              <w:rPr>
                <w:sz w:val="24"/>
              </w:rPr>
              <w:t>completar</w:t>
              <w:tab/>
              <w:t>el</w:t>
            </w:r>
          </w:p>
        </w:tc>
        <w:tc>
          <w:tcPr>
            <w:tcW w:w="2154" w:type="dxa"/>
            <w:tcBorders>
              <w:top w:val="nil"/>
              <w:bottom w:val="nil"/>
            </w:tcBorders>
          </w:tcPr>
          <w:p>
            <w:pPr>
              <w:pStyle w:val="TableParagraph"/>
              <w:tabs>
                <w:tab w:pos="1859" w:val="left" w:leader="none"/>
              </w:tabs>
              <w:spacing w:before="35"/>
              <w:ind w:left="108"/>
              <w:rPr>
                <w:sz w:val="24"/>
              </w:rPr>
            </w:pPr>
            <w:r>
              <w:rPr>
                <w:sz w:val="24"/>
              </w:rPr>
              <w:t>completar</w:t>
              <w:tab/>
              <w:t>el</w:t>
            </w:r>
          </w:p>
        </w:tc>
        <w:tc>
          <w:tcPr>
            <w:tcW w:w="2154" w:type="dxa"/>
            <w:tcBorders>
              <w:top w:val="nil"/>
              <w:bottom w:val="nil"/>
            </w:tcBorders>
          </w:tcPr>
          <w:p>
            <w:pPr>
              <w:pStyle w:val="TableParagraph"/>
              <w:tabs>
                <w:tab w:pos="1859" w:val="left" w:leader="none"/>
              </w:tabs>
              <w:spacing w:before="35"/>
              <w:ind w:left="107"/>
              <w:rPr>
                <w:sz w:val="24"/>
              </w:rPr>
            </w:pPr>
            <w:r>
              <w:rPr>
                <w:sz w:val="24"/>
              </w:rPr>
              <w:t>completar</w:t>
              <w:tab/>
              <w:t>el</w:t>
            </w:r>
          </w:p>
        </w:tc>
        <w:tc>
          <w:tcPr>
            <w:tcW w:w="2155" w:type="dxa"/>
            <w:tcBorders>
              <w:top w:val="nil"/>
              <w:bottom w:val="nil"/>
            </w:tcBorders>
          </w:tcPr>
          <w:p>
            <w:pPr>
              <w:pStyle w:val="TableParagraph"/>
              <w:tabs>
                <w:tab w:pos="990" w:val="left" w:leader="none"/>
                <w:tab w:pos="1860" w:val="left" w:leader="none"/>
              </w:tabs>
              <w:spacing w:before="35"/>
              <w:ind w:left="108"/>
              <w:rPr>
                <w:sz w:val="24"/>
              </w:rPr>
            </w:pPr>
            <w:r>
              <w:rPr>
                <w:sz w:val="24"/>
              </w:rPr>
              <w:t>esta</w:t>
              <w:tab/>
              <w:t>caja</w:t>
              <w:tab/>
              <w:t>al</w:t>
            </w:r>
          </w:p>
        </w:tc>
      </w:tr>
      <w:tr>
        <w:trPr>
          <w:trHeight w:val="355" w:hRule="atLeast"/>
        </w:trPr>
        <w:tc>
          <w:tcPr>
            <w:tcW w:w="2173" w:type="dxa"/>
            <w:tcBorders>
              <w:top w:val="nil"/>
              <w:bottom w:val="nil"/>
            </w:tcBorders>
          </w:tcPr>
          <w:p>
            <w:pPr>
              <w:pStyle w:val="TableParagraph"/>
              <w:tabs>
                <w:tab w:pos="1878" w:val="left" w:leader="none"/>
              </w:tabs>
              <w:spacing w:before="35"/>
              <w:ind w:left="108"/>
              <w:rPr>
                <w:sz w:val="24"/>
              </w:rPr>
            </w:pPr>
            <w:r>
              <w:rPr>
                <w:sz w:val="24"/>
              </w:rPr>
              <w:t>completar</w:t>
              <w:tab/>
              <w:t>el</w:t>
            </w:r>
          </w:p>
        </w:tc>
        <w:tc>
          <w:tcPr>
            <w:tcW w:w="2154" w:type="dxa"/>
            <w:tcBorders>
              <w:top w:val="nil"/>
              <w:bottom w:val="nil"/>
            </w:tcBorders>
          </w:tcPr>
          <w:p>
            <w:pPr>
              <w:pStyle w:val="TableParagraph"/>
              <w:tabs>
                <w:tab w:pos="1859" w:val="left" w:leader="none"/>
              </w:tabs>
              <w:spacing w:before="35"/>
              <w:ind w:left="108"/>
              <w:rPr>
                <w:sz w:val="24"/>
              </w:rPr>
            </w:pPr>
            <w:r>
              <w:rPr>
                <w:sz w:val="24"/>
              </w:rPr>
              <w:t>completar</w:t>
              <w:tab/>
              <w:t>el</w:t>
            </w:r>
          </w:p>
        </w:tc>
        <w:tc>
          <w:tcPr>
            <w:tcW w:w="2155" w:type="dxa"/>
            <w:tcBorders>
              <w:top w:val="nil"/>
              <w:bottom w:val="nil"/>
            </w:tcBorders>
          </w:tcPr>
          <w:p>
            <w:pPr>
              <w:pStyle w:val="TableParagraph"/>
              <w:spacing w:before="35"/>
              <w:ind w:left="108"/>
              <w:rPr>
                <w:b/>
                <w:sz w:val="24"/>
              </w:rPr>
            </w:pPr>
            <w:r>
              <w:rPr>
                <w:sz w:val="24"/>
              </w:rPr>
              <w:t>LCAP para </w:t>
            </w:r>
            <w:r>
              <w:rPr>
                <w:b/>
                <w:sz w:val="24"/>
              </w:rPr>
              <w:t>2022–</w:t>
            </w:r>
          </w:p>
        </w:tc>
        <w:tc>
          <w:tcPr>
            <w:tcW w:w="2154" w:type="dxa"/>
            <w:tcBorders>
              <w:top w:val="nil"/>
              <w:bottom w:val="nil"/>
            </w:tcBorders>
          </w:tcPr>
          <w:p>
            <w:pPr>
              <w:pStyle w:val="TableParagraph"/>
              <w:spacing w:before="35"/>
              <w:ind w:left="108"/>
              <w:rPr>
                <w:b/>
                <w:sz w:val="24"/>
              </w:rPr>
            </w:pPr>
            <w:r>
              <w:rPr>
                <w:sz w:val="24"/>
              </w:rPr>
              <w:t>LCAP para </w:t>
            </w:r>
            <w:r>
              <w:rPr>
                <w:b/>
                <w:sz w:val="24"/>
              </w:rPr>
              <w:t>2023–</w:t>
            </w:r>
          </w:p>
        </w:tc>
        <w:tc>
          <w:tcPr>
            <w:tcW w:w="2154" w:type="dxa"/>
            <w:tcBorders>
              <w:top w:val="nil"/>
              <w:bottom w:val="nil"/>
            </w:tcBorders>
          </w:tcPr>
          <w:p>
            <w:pPr>
              <w:pStyle w:val="TableParagraph"/>
              <w:spacing w:before="35"/>
              <w:ind w:left="107"/>
              <w:rPr>
                <w:b/>
                <w:sz w:val="24"/>
              </w:rPr>
            </w:pPr>
            <w:r>
              <w:rPr>
                <w:sz w:val="24"/>
              </w:rPr>
              <w:t>LCAP para </w:t>
            </w:r>
            <w:r>
              <w:rPr>
                <w:b/>
                <w:sz w:val="24"/>
              </w:rPr>
              <w:t>2024–</w:t>
            </w:r>
          </w:p>
        </w:tc>
        <w:tc>
          <w:tcPr>
            <w:tcW w:w="2155" w:type="dxa"/>
            <w:tcBorders>
              <w:top w:val="nil"/>
              <w:bottom w:val="nil"/>
            </w:tcBorders>
          </w:tcPr>
          <w:p>
            <w:pPr>
              <w:pStyle w:val="TableParagraph"/>
              <w:tabs>
                <w:tab w:pos="1860" w:val="left" w:leader="none"/>
              </w:tabs>
              <w:spacing w:before="35"/>
              <w:ind w:left="108"/>
              <w:rPr>
                <w:sz w:val="24"/>
              </w:rPr>
            </w:pPr>
            <w:r>
              <w:rPr>
                <w:sz w:val="24"/>
              </w:rPr>
              <w:t>completar</w:t>
              <w:tab/>
              <w:t>el</w:t>
            </w:r>
          </w:p>
        </w:tc>
      </w:tr>
      <w:tr>
        <w:trPr>
          <w:trHeight w:val="355" w:hRule="atLeast"/>
        </w:trPr>
        <w:tc>
          <w:tcPr>
            <w:tcW w:w="2173" w:type="dxa"/>
            <w:tcBorders>
              <w:top w:val="nil"/>
              <w:bottom w:val="nil"/>
            </w:tcBorders>
          </w:tcPr>
          <w:p>
            <w:pPr>
              <w:pStyle w:val="TableParagraph"/>
              <w:spacing w:before="35"/>
              <w:ind w:left="108"/>
              <w:rPr>
                <w:b/>
                <w:sz w:val="24"/>
              </w:rPr>
            </w:pPr>
            <w:r>
              <w:rPr>
                <w:sz w:val="24"/>
              </w:rPr>
              <w:t>LCAP para </w:t>
            </w:r>
            <w:r>
              <w:rPr>
                <w:b/>
                <w:sz w:val="24"/>
              </w:rPr>
              <w:t>2021–</w:t>
            </w:r>
          </w:p>
        </w:tc>
        <w:tc>
          <w:tcPr>
            <w:tcW w:w="2154" w:type="dxa"/>
            <w:tcBorders>
              <w:top w:val="nil"/>
              <w:bottom w:val="nil"/>
            </w:tcBorders>
          </w:tcPr>
          <w:p>
            <w:pPr>
              <w:pStyle w:val="TableParagraph"/>
              <w:spacing w:before="35"/>
              <w:ind w:left="108"/>
              <w:rPr>
                <w:b/>
                <w:sz w:val="24"/>
              </w:rPr>
            </w:pPr>
            <w:r>
              <w:rPr>
                <w:sz w:val="24"/>
              </w:rPr>
              <w:t>LCAP para </w:t>
            </w:r>
            <w:r>
              <w:rPr>
                <w:b/>
                <w:sz w:val="24"/>
              </w:rPr>
              <w:t>2021–</w:t>
            </w:r>
          </w:p>
        </w:tc>
        <w:tc>
          <w:tcPr>
            <w:tcW w:w="2155" w:type="dxa"/>
            <w:tcBorders>
              <w:top w:val="nil"/>
              <w:bottom w:val="nil"/>
            </w:tcBorders>
          </w:tcPr>
          <w:p>
            <w:pPr>
              <w:pStyle w:val="TableParagraph"/>
              <w:tabs>
                <w:tab w:pos="863" w:val="left" w:leader="none"/>
                <w:tab w:pos="1779" w:val="left" w:leader="none"/>
              </w:tabs>
              <w:spacing w:before="35"/>
              <w:ind w:left="108"/>
              <w:rPr>
                <w:sz w:val="24"/>
              </w:rPr>
            </w:pPr>
            <w:r>
              <w:rPr>
                <w:b/>
                <w:sz w:val="24"/>
              </w:rPr>
              <w:t>23</w:t>
            </w:r>
            <w:r>
              <w:rPr>
                <w:sz w:val="24"/>
              </w:rPr>
              <w:t>.</w:t>
              <w:tab/>
              <w:t>Deje</w:t>
              <w:tab/>
              <w:t>en</w:t>
            </w:r>
          </w:p>
        </w:tc>
        <w:tc>
          <w:tcPr>
            <w:tcW w:w="2154" w:type="dxa"/>
            <w:tcBorders>
              <w:top w:val="nil"/>
              <w:bottom w:val="nil"/>
            </w:tcBorders>
          </w:tcPr>
          <w:p>
            <w:pPr>
              <w:pStyle w:val="TableParagraph"/>
              <w:tabs>
                <w:tab w:pos="863" w:val="left" w:leader="none"/>
                <w:tab w:pos="1778" w:val="left" w:leader="none"/>
              </w:tabs>
              <w:spacing w:before="35"/>
              <w:ind w:left="108"/>
              <w:rPr>
                <w:sz w:val="24"/>
              </w:rPr>
            </w:pPr>
            <w:r>
              <w:rPr>
                <w:b/>
                <w:sz w:val="24"/>
              </w:rPr>
              <w:t>24</w:t>
            </w:r>
            <w:r>
              <w:rPr>
                <w:sz w:val="24"/>
              </w:rPr>
              <w:t>.</w:t>
              <w:tab/>
              <w:t>Deje</w:t>
              <w:tab/>
              <w:t>en</w:t>
            </w:r>
          </w:p>
        </w:tc>
        <w:tc>
          <w:tcPr>
            <w:tcW w:w="2154" w:type="dxa"/>
            <w:tcBorders>
              <w:top w:val="nil"/>
              <w:bottom w:val="nil"/>
            </w:tcBorders>
          </w:tcPr>
          <w:p>
            <w:pPr>
              <w:pStyle w:val="TableParagraph"/>
              <w:tabs>
                <w:tab w:pos="863" w:val="left" w:leader="none"/>
                <w:tab w:pos="1778" w:val="left" w:leader="none"/>
              </w:tabs>
              <w:spacing w:before="35"/>
              <w:ind w:left="107"/>
              <w:rPr>
                <w:sz w:val="24"/>
              </w:rPr>
            </w:pPr>
            <w:r>
              <w:rPr>
                <w:b/>
                <w:sz w:val="24"/>
              </w:rPr>
              <w:t>25</w:t>
            </w:r>
            <w:r>
              <w:rPr>
                <w:sz w:val="24"/>
              </w:rPr>
              <w:t>.</w:t>
              <w:tab/>
              <w:t>Deje</w:t>
              <w:tab/>
              <w:t>en</w:t>
            </w:r>
          </w:p>
        </w:tc>
        <w:tc>
          <w:tcPr>
            <w:tcW w:w="2155" w:type="dxa"/>
            <w:tcBorders>
              <w:top w:val="nil"/>
              <w:bottom w:val="nil"/>
            </w:tcBorders>
          </w:tcPr>
          <w:p>
            <w:pPr>
              <w:pStyle w:val="TableParagraph"/>
              <w:spacing w:before="35"/>
              <w:ind w:left="108"/>
              <w:rPr>
                <w:b/>
                <w:sz w:val="24"/>
              </w:rPr>
            </w:pPr>
            <w:r>
              <w:rPr>
                <w:sz w:val="24"/>
              </w:rPr>
              <w:t>LCAP para </w:t>
            </w:r>
            <w:r>
              <w:rPr>
                <w:b/>
                <w:sz w:val="24"/>
              </w:rPr>
              <w:t>2021–</w:t>
            </w:r>
          </w:p>
        </w:tc>
      </w:tr>
      <w:tr>
        <w:trPr>
          <w:trHeight w:val="355" w:hRule="atLeast"/>
        </w:trPr>
        <w:tc>
          <w:tcPr>
            <w:tcW w:w="2173" w:type="dxa"/>
            <w:tcBorders>
              <w:top w:val="nil"/>
              <w:bottom w:val="nil"/>
            </w:tcBorders>
          </w:tcPr>
          <w:p>
            <w:pPr>
              <w:pStyle w:val="TableParagraph"/>
              <w:spacing w:before="35"/>
              <w:ind w:left="108"/>
              <w:rPr>
                <w:sz w:val="24"/>
              </w:rPr>
            </w:pPr>
            <w:r>
              <w:rPr>
                <w:b/>
                <w:sz w:val="24"/>
              </w:rPr>
              <w:t>22</w:t>
            </w:r>
            <w:r>
              <w:rPr>
                <w:sz w:val="24"/>
              </w:rPr>
              <w:t>.</w:t>
            </w:r>
          </w:p>
        </w:tc>
        <w:tc>
          <w:tcPr>
            <w:tcW w:w="2154" w:type="dxa"/>
            <w:tcBorders>
              <w:top w:val="nil"/>
              <w:bottom w:val="nil"/>
            </w:tcBorders>
          </w:tcPr>
          <w:p>
            <w:pPr>
              <w:pStyle w:val="TableParagraph"/>
              <w:spacing w:before="35"/>
              <w:ind w:left="108"/>
              <w:rPr>
                <w:sz w:val="24"/>
              </w:rPr>
            </w:pPr>
            <w:r>
              <w:rPr>
                <w:b/>
                <w:sz w:val="24"/>
              </w:rPr>
              <w:t>22</w:t>
            </w:r>
            <w:r>
              <w:rPr>
                <w:sz w:val="24"/>
              </w:rPr>
              <w:t>.</w:t>
            </w:r>
          </w:p>
        </w:tc>
        <w:tc>
          <w:tcPr>
            <w:tcW w:w="2155" w:type="dxa"/>
            <w:tcBorders>
              <w:top w:val="nil"/>
              <w:bottom w:val="nil"/>
            </w:tcBorders>
          </w:tcPr>
          <w:p>
            <w:pPr>
              <w:pStyle w:val="TableParagraph"/>
              <w:tabs>
                <w:tab w:pos="1459" w:val="left" w:leader="none"/>
              </w:tabs>
              <w:spacing w:before="35"/>
              <w:ind w:left="108"/>
              <w:rPr>
                <w:sz w:val="24"/>
              </w:rPr>
            </w:pPr>
            <w:r>
              <w:rPr>
                <w:sz w:val="24"/>
              </w:rPr>
              <w:t>blanco</w:t>
              <w:tab/>
              <w:t>hasta</w:t>
            </w:r>
          </w:p>
        </w:tc>
        <w:tc>
          <w:tcPr>
            <w:tcW w:w="2154" w:type="dxa"/>
            <w:tcBorders>
              <w:top w:val="nil"/>
              <w:bottom w:val="nil"/>
            </w:tcBorders>
          </w:tcPr>
          <w:p>
            <w:pPr>
              <w:pStyle w:val="TableParagraph"/>
              <w:tabs>
                <w:tab w:pos="1458" w:val="left" w:leader="none"/>
              </w:tabs>
              <w:spacing w:before="35"/>
              <w:ind w:left="108"/>
              <w:rPr>
                <w:sz w:val="24"/>
              </w:rPr>
            </w:pPr>
            <w:r>
              <w:rPr>
                <w:sz w:val="24"/>
              </w:rPr>
              <w:t>blanco</w:t>
              <w:tab/>
              <w:t>hasta</w:t>
            </w:r>
          </w:p>
        </w:tc>
        <w:tc>
          <w:tcPr>
            <w:tcW w:w="2154" w:type="dxa"/>
            <w:tcBorders>
              <w:top w:val="nil"/>
              <w:bottom w:val="nil"/>
            </w:tcBorders>
          </w:tcPr>
          <w:p>
            <w:pPr>
              <w:pStyle w:val="TableParagraph"/>
              <w:tabs>
                <w:tab w:pos="1458" w:val="left" w:leader="none"/>
              </w:tabs>
              <w:spacing w:before="35"/>
              <w:ind w:left="107"/>
              <w:rPr>
                <w:sz w:val="24"/>
              </w:rPr>
            </w:pPr>
            <w:r>
              <w:rPr>
                <w:sz w:val="24"/>
              </w:rPr>
              <w:t>blanco</w:t>
              <w:tab/>
              <w:t>hasta</w:t>
            </w:r>
          </w:p>
        </w:tc>
        <w:tc>
          <w:tcPr>
            <w:tcW w:w="2155" w:type="dxa"/>
            <w:tcBorders>
              <w:top w:val="nil"/>
              <w:bottom w:val="nil"/>
            </w:tcBorders>
          </w:tcPr>
          <w:p>
            <w:pPr>
              <w:pStyle w:val="TableParagraph"/>
              <w:spacing w:before="35"/>
              <w:ind w:left="108"/>
              <w:rPr>
                <w:sz w:val="24"/>
              </w:rPr>
            </w:pPr>
            <w:r>
              <w:rPr>
                <w:b/>
                <w:sz w:val="24"/>
              </w:rPr>
              <w:t>22</w:t>
            </w:r>
            <w:r>
              <w:rPr>
                <w:sz w:val="24"/>
              </w:rPr>
              <w:t>.</w:t>
            </w:r>
          </w:p>
        </w:tc>
      </w:tr>
      <w:tr>
        <w:trPr>
          <w:trHeight w:val="551" w:hRule="atLeast"/>
        </w:trPr>
        <w:tc>
          <w:tcPr>
            <w:tcW w:w="2173" w:type="dxa"/>
            <w:tcBorders>
              <w:top w:val="nil"/>
            </w:tcBorders>
          </w:tcPr>
          <w:p>
            <w:pPr>
              <w:pStyle w:val="TableParagraph"/>
              <w:rPr>
                <w:rFonts w:ascii="Times New Roman"/>
                <w:sz w:val="22"/>
              </w:rPr>
            </w:pPr>
          </w:p>
        </w:tc>
        <w:tc>
          <w:tcPr>
            <w:tcW w:w="2154" w:type="dxa"/>
            <w:tcBorders>
              <w:top w:val="nil"/>
            </w:tcBorders>
          </w:tcPr>
          <w:p>
            <w:pPr>
              <w:pStyle w:val="TableParagraph"/>
              <w:rPr>
                <w:rFonts w:ascii="Times New Roman"/>
                <w:sz w:val="22"/>
              </w:rPr>
            </w:pPr>
          </w:p>
        </w:tc>
        <w:tc>
          <w:tcPr>
            <w:tcW w:w="2155" w:type="dxa"/>
            <w:tcBorders>
              <w:top w:val="nil"/>
            </w:tcBorders>
          </w:tcPr>
          <w:p>
            <w:pPr>
              <w:pStyle w:val="TableParagraph"/>
              <w:spacing w:before="35"/>
              <w:ind w:left="108"/>
              <w:rPr>
                <w:sz w:val="24"/>
              </w:rPr>
            </w:pPr>
            <w:r>
              <w:rPr>
                <w:sz w:val="24"/>
              </w:rPr>
              <w:t>entonces.</w:t>
            </w:r>
          </w:p>
        </w:tc>
        <w:tc>
          <w:tcPr>
            <w:tcW w:w="2154" w:type="dxa"/>
            <w:tcBorders>
              <w:top w:val="nil"/>
            </w:tcBorders>
          </w:tcPr>
          <w:p>
            <w:pPr>
              <w:pStyle w:val="TableParagraph"/>
              <w:spacing w:before="35"/>
              <w:ind w:left="108"/>
              <w:rPr>
                <w:sz w:val="24"/>
              </w:rPr>
            </w:pPr>
            <w:r>
              <w:rPr>
                <w:sz w:val="24"/>
              </w:rPr>
              <w:t>entonces.</w:t>
            </w:r>
          </w:p>
        </w:tc>
        <w:tc>
          <w:tcPr>
            <w:tcW w:w="2154" w:type="dxa"/>
            <w:tcBorders>
              <w:top w:val="nil"/>
            </w:tcBorders>
          </w:tcPr>
          <w:p>
            <w:pPr>
              <w:pStyle w:val="TableParagraph"/>
              <w:spacing w:before="35"/>
              <w:ind w:left="107"/>
              <w:rPr>
                <w:sz w:val="24"/>
              </w:rPr>
            </w:pPr>
            <w:r>
              <w:rPr>
                <w:sz w:val="24"/>
              </w:rPr>
              <w:t>entonces.</w:t>
            </w:r>
          </w:p>
        </w:tc>
        <w:tc>
          <w:tcPr>
            <w:tcW w:w="2155" w:type="dxa"/>
            <w:tcBorders>
              <w:top w:val="nil"/>
            </w:tcBorders>
          </w:tcPr>
          <w:p>
            <w:pPr>
              <w:pStyle w:val="TableParagraph"/>
              <w:rPr>
                <w:rFonts w:ascii="Times New Roman"/>
                <w:sz w:val="22"/>
              </w:rPr>
            </w:pPr>
          </w:p>
        </w:tc>
      </w:tr>
    </w:tbl>
    <w:p>
      <w:pPr>
        <w:pStyle w:val="BodyText"/>
        <w:spacing w:before="10"/>
        <w:rPr>
          <w:sz w:val="20"/>
        </w:rPr>
      </w:pPr>
    </w:p>
    <w:p>
      <w:pPr>
        <w:pStyle w:val="BodyText"/>
        <w:ind w:left="240" w:right="437"/>
      </w:pPr>
      <w:r>
        <w:rPr/>
        <w:t>Las medidas podrán ser cuantitativas o cualitativas; pero como mínimo, el LCAP de un LEA debe incluir metas que son medidas usando todas las medidas aplicables para las prioridades estatales relacionadas, en cada año LCAP según corresponda al tipo de LEA. Al nivel que una prioridad estatal no especifica una o más de las medidas (p. ej., implementación de contenido académico estatal y normas de desempeño), el LEA debe identificar una medida para usar dentro del LCAP. Para estas prioridades estatales, los LEA son alentados para usar medidas basado en o reportado mediante la relevante herramienta de autorreflexión para indicadores locales dentro de la Interfaz (</w:t>
      </w:r>
      <w:r>
        <w:rPr>
          <w:i/>
        </w:rPr>
        <w:t>Dashboard</w:t>
      </w:r>
      <w:r>
        <w:rPr/>
        <w:t>).</w:t>
      </w:r>
    </w:p>
    <w:p>
      <w:pPr>
        <w:pStyle w:val="BodyText"/>
        <w:spacing w:before="10"/>
        <w:rPr>
          <w:sz w:val="20"/>
        </w:rPr>
      </w:pPr>
    </w:p>
    <w:p>
      <w:pPr>
        <w:pStyle w:val="BodyText"/>
        <w:ind w:left="240" w:right="268"/>
      </w:pPr>
      <w:r>
        <w:rPr>
          <w:b/>
          <w:i/>
        </w:rPr>
        <w:t>Acciones</w:t>
      </w:r>
      <w:r>
        <w:rPr/>
        <w:t>: Incluya el número de acción. Proporcione un título abreviado para la acción. Este título también aparecerá en las tablas de gastos. Proporcione una descripción de la acción. Incluya la cantidad total de gastos asociados con esta acción. Gastos presupuestados de fuentes presupuestarias especificas serán proporcionados en las tablas de resumen de gastos. Indique si es que la acción contribuye a cumpliendo el requisito de aumento o mejora de servicios según se describe en la sección Aumento o Mejoramiento de Servicios usando una “Y” para Sí o una “N” para No. (Nota: para cada tal acción ofrecida a base de nivel del LEA o a nivel escolar, el LEA necesitará proporcionar información adicional en la sección Resumen de Aumento o Mejoramiento para abordar los requisitos en </w:t>
      </w:r>
      <w:r>
        <w:rPr>
          <w:i/>
        </w:rPr>
        <w:t>Código de Regulaciones de California</w:t>
      </w:r>
      <w:r>
        <w:rPr/>
        <w:t>, Título 5 [5 </w:t>
      </w:r>
      <w:r>
        <w:rPr>
          <w:i/>
        </w:rPr>
        <w:t>CCR</w:t>
      </w:r>
      <w:r>
        <w:rPr/>
        <w:t>] Sección 15496(b) en la sección Aumento o Mejoramiento de Servicios del</w:t>
      </w:r>
      <w:r>
        <w:rPr>
          <w:spacing w:val="-8"/>
        </w:rPr>
        <w:t> </w:t>
      </w:r>
      <w:r>
        <w:rPr/>
        <w:t>LCAP).</w:t>
      </w:r>
    </w:p>
    <w:p>
      <w:pPr>
        <w:pStyle w:val="BodyText"/>
        <w:spacing w:before="10"/>
        <w:rPr>
          <w:sz w:val="20"/>
        </w:rPr>
      </w:pPr>
    </w:p>
    <w:p>
      <w:pPr>
        <w:pStyle w:val="BodyText"/>
        <w:ind w:left="960" w:right="439"/>
      </w:pPr>
      <w:r>
        <w:rPr>
          <w:b/>
          <w:i/>
        </w:rPr>
        <w:t>Acciones para Estudiantes del Inglés: </w:t>
      </w:r>
      <w:r>
        <w:rPr/>
        <w:t>Los distritos escolares, COE y escuelas semiautónomas que tienen un subgrupo estudiantil numéricamente significativo de estudiantes del inglés deben incluir acciones específicas en el LCAP relacionada a, como mínimo, los programas de adquisición lingüística, según se define en </w:t>
      </w:r>
      <w:r>
        <w:rPr>
          <w:i/>
        </w:rPr>
        <w:t>EC </w:t>
      </w:r>
      <w:r>
        <w:rPr/>
        <w:t>Sección 306, proporcionadas a los alumnos y actividades de formación profesional específicas a los estudiantes del inglés.</w:t>
      </w:r>
    </w:p>
    <w:p>
      <w:pPr>
        <w:spacing w:after="0"/>
        <w:sectPr>
          <w:pgSz w:w="15840" w:h="12240" w:orient="landscape"/>
          <w:pgMar w:header="0" w:footer="284" w:top="560" w:bottom="560" w:left="120" w:right="120"/>
        </w:sectPr>
      </w:pPr>
    </w:p>
    <w:p>
      <w:pPr>
        <w:pStyle w:val="BodyText"/>
        <w:spacing w:before="76"/>
        <w:ind w:left="960" w:right="251"/>
      </w:pPr>
      <w:r>
        <w:rPr>
          <w:b/>
          <w:i/>
        </w:rPr>
        <w:t>Acciones para Jóvenes de Crianza Temporal</w:t>
      </w:r>
      <w:r>
        <w:rPr/>
        <w:t>: Los distritos escolares, COE y escuelas semiautónomas que tienen un subgrupo estudiantil numéricamente significativo de jóvenes de crianza temporal son alentados incluir acciones específicas en el LCAP diseñado para cumplir necesidades específicas para los jóvenes de crianza temporal</w:t>
      </w:r>
    </w:p>
    <w:p>
      <w:pPr>
        <w:pStyle w:val="BodyText"/>
        <w:spacing w:before="10"/>
        <w:rPr>
          <w:sz w:val="20"/>
        </w:rPr>
      </w:pPr>
    </w:p>
    <w:p>
      <w:pPr>
        <w:pStyle w:val="Heading4"/>
        <w:rPr>
          <w:i/>
        </w:rPr>
      </w:pPr>
      <w:bookmarkStart w:name="Análisis de Meta:" w:id="57"/>
      <w:bookmarkEnd w:id="57"/>
      <w:r>
        <w:rPr>
          <w:b w:val="0"/>
          <w:i w:val="0"/>
        </w:rPr>
      </w:r>
      <w:r>
        <w:rPr>
          <w:i/>
        </w:rPr>
        <w:t>Análisis de Meta:</w:t>
      </w:r>
    </w:p>
    <w:p>
      <w:pPr>
        <w:pStyle w:val="BodyText"/>
        <w:spacing w:before="10"/>
        <w:rPr>
          <w:b/>
          <w:i/>
          <w:sz w:val="20"/>
        </w:rPr>
      </w:pPr>
    </w:p>
    <w:p>
      <w:pPr>
        <w:pStyle w:val="BodyText"/>
        <w:ind w:left="240"/>
      </w:pPr>
      <w:r>
        <w:rPr/>
        <w:t>Incluya el Año LCAP</w:t>
      </w:r>
    </w:p>
    <w:p>
      <w:pPr>
        <w:pStyle w:val="BodyText"/>
        <w:spacing w:before="10"/>
        <w:rPr>
          <w:sz w:val="20"/>
        </w:rPr>
      </w:pPr>
    </w:p>
    <w:p>
      <w:pPr>
        <w:pStyle w:val="BodyText"/>
        <w:ind w:left="240" w:right="1318"/>
      </w:pPr>
      <w:r>
        <w:rPr/>
        <w:t>Usando datos actuales de resultados anuales mensurables, incluyendo datos de la Interfaz (</w:t>
      </w:r>
      <w:r>
        <w:rPr>
          <w:i/>
        </w:rPr>
        <w:t>Dashboard</w:t>
      </w:r>
      <w:r>
        <w:rPr/>
        <w:t>), analice si es que acciones planeadas fueron efectivas en lograr la meta. Responda a los indicadores según es orientado.</w:t>
      </w:r>
    </w:p>
    <w:p>
      <w:pPr>
        <w:pStyle w:val="BodyText"/>
        <w:spacing w:before="10"/>
        <w:rPr>
          <w:sz w:val="20"/>
        </w:rPr>
      </w:pPr>
    </w:p>
    <w:p>
      <w:pPr>
        <w:pStyle w:val="ListParagraph"/>
        <w:numPr>
          <w:ilvl w:val="0"/>
          <w:numId w:val="3"/>
        </w:numPr>
        <w:tabs>
          <w:tab w:pos="959" w:val="left" w:leader="none"/>
          <w:tab w:pos="960" w:val="left" w:leader="none"/>
        </w:tabs>
        <w:spacing w:line="240" w:lineRule="auto" w:before="0" w:after="0"/>
        <w:ind w:left="960" w:right="668" w:hanging="360"/>
        <w:jc w:val="left"/>
        <w:rPr>
          <w:sz w:val="24"/>
        </w:rPr>
      </w:pPr>
      <w:r>
        <w:rPr>
          <w:sz w:val="24"/>
        </w:rPr>
        <w:t>Describa la implementación general de las acciones para lograr la meta articulada. Incluya una discusión de desafíos y éxitos relevantes experimentados con el proceso de implementación. Esto debe incluir cualquier caso donde el LEA no implementó una acción planeada o implementó una acción planeada en una manera que varía significativamente de cómo fue detallado en el LCAP adoptado.</w:t>
      </w:r>
    </w:p>
    <w:p>
      <w:pPr>
        <w:pStyle w:val="BodyText"/>
        <w:spacing w:before="9"/>
        <w:rPr>
          <w:sz w:val="20"/>
        </w:rPr>
      </w:pPr>
    </w:p>
    <w:p>
      <w:pPr>
        <w:pStyle w:val="ListParagraph"/>
        <w:numPr>
          <w:ilvl w:val="0"/>
          <w:numId w:val="3"/>
        </w:numPr>
        <w:tabs>
          <w:tab w:pos="959" w:val="left" w:leader="none"/>
          <w:tab w:pos="960" w:val="left" w:leader="none"/>
        </w:tabs>
        <w:spacing w:line="240" w:lineRule="auto" w:before="0" w:after="0"/>
        <w:ind w:left="960" w:right="1244" w:hanging="360"/>
        <w:jc w:val="left"/>
        <w:rPr>
          <w:sz w:val="24"/>
        </w:rPr>
      </w:pPr>
      <w:r>
        <w:rPr>
          <w:sz w:val="24"/>
        </w:rPr>
        <w:t>Explique diferencias materiales entre Gastos Presupuestados y Gastos Actuales Estimados. Varianzas menores en gastos no necesitan ser abordadas, ni se requiere contabilidad al dólar por</w:t>
      </w:r>
      <w:r>
        <w:rPr>
          <w:spacing w:val="-8"/>
          <w:sz w:val="24"/>
        </w:rPr>
        <w:t> </w:t>
      </w:r>
      <w:r>
        <w:rPr>
          <w:sz w:val="24"/>
        </w:rPr>
        <w:t>dólar.</w:t>
      </w:r>
    </w:p>
    <w:p>
      <w:pPr>
        <w:pStyle w:val="BodyText"/>
        <w:spacing w:before="9"/>
        <w:rPr>
          <w:sz w:val="20"/>
        </w:rPr>
      </w:pPr>
    </w:p>
    <w:p>
      <w:pPr>
        <w:pStyle w:val="ListParagraph"/>
        <w:numPr>
          <w:ilvl w:val="0"/>
          <w:numId w:val="3"/>
        </w:numPr>
        <w:tabs>
          <w:tab w:pos="959" w:val="left" w:leader="none"/>
          <w:tab w:pos="960" w:val="left" w:leader="none"/>
        </w:tabs>
        <w:spacing w:line="240" w:lineRule="auto" w:before="0" w:after="0"/>
        <w:ind w:left="960" w:right="269" w:hanging="360"/>
        <w:jc w:val="left"/>
        <w:rPr>
          <w:sz w:val="24"/>
        </w:rPr>
      </w:pPr>
      <w:r>
        <w:rPr>
          <w:sz w:val="24"/>
        </w:rPr>
        <w:t>Describa la efectividad de las acciones específicas para lograr la meta articulada según se mide por el LEA. En algunos casos, no todas las acciones en una meta estarán diseñadas para mejorar desempeño en todas las medidas asociadas con la meta. Al responder a este indicador, los LEA pueden evaluar la efectividad en una acción particular o grupo de acciones dentro de la meta en el contexto</w:t>
      </w:r>
      <w:r>
        <w:rPr>
          <w:spacing w:val="-3"/>
          <w:sz w:val="24"/>
        </w:rPr>
        <w:t> </w:t>
      </w:r>
      <w:r>
        <w:rPr>
          <w:sz w:val="24"/>
        </w:rPr>
        <w:t>de</w:t>
      </w:r>
      <w:r>
        <w:rPr>
          <w:spacing w:val="-3"/>
          <w:sz w:val="24"/>
        </w:rPr>
        <w:t> </w:t>
      </w:r>
      <w:r>
        <w:rPr>
          <w:sz w:val="24"/>
        </w:rPr>
        <w:t>desempeño</w:t>
      </w:r>
      <w:r>
        <w:rPr>
          <w:spacing w:val="-2"/>
          <w:sz w:val="24"/>
        </w:rPr>
        <w:t> </w:t>
      </w:r>
      <w:r>
        <w:rPr>
          <w:sz w:val="24"/>
        </w:rPr>
        <w:t>en</w:t>
      </w:r>
      <w:r>
        <w:rPr>
          <w:spacing w:val="-3"/>
          <w:sz w:val="24"/>
        </w:rPr>
        <w:t> </w:t>
      </w:r>
      <w:r>
        <w:rPr>
          <w:sz w:val="24"/>
        </w:rPr>
        <w:t>una</w:t>
      </w:r>
      <w:r>
        <w:rPr>
          <w:spacing w:val="-3"/>
          <w:sz w:val="24"/>
        </w:rPr>
        <w:t> </w:t>
      </w:r>
      <w:r>
        <w:rPr>
          <w:sz w:val="24"/>
        </w:rPr>
        <w:t>medida</w:t>
      </w:r>
      <w:r>
        <w:rPr>
          <w:spacing w:val="-3"/>
          <w:sz w:val="24"/>
        </w:rPr>
        <w:t> </w:t>
      </w:r>
      <w:r>
        <w:rPr>
          <w:sz w:val="24"/>
        </w:rPr>
        <w:t>particular</w:t>
      </w:r>
      <w:r>
        <w:rPr>
          <w:spacing w:val="-3"/>
          <w:sz w:val="24"/>
        </w:rPr>
        <w:t> </w:t>
      </w:r>
      <w:r>
        <w:rPr>
          <w:sz w:val="24"/>
        </w:rPr>
        <w:t>o</w:t>
      </w:r>
      <w:r>
        <w:rPr>
          <w:spacing w:val="-2"/>
          <w:sz w:val="24"/>
        </w:rPr>
        <w:t> </w:t>
      </w:r>
      <w:r>
        <w:rPr>
          <w:sz w:val="24"/>
        </w:rPr>
        <w:t>grupo</w:t>
      </w:r>
      <w:r>
        <w:rPr>
          <w:spacing w:val="-3"/>
          <w:sz w:val="24"/>
        </w:rPr>
        <w:t> </w:t>
      </w:r>
      <w:r>
        <w:rPr>
          <w:sz w:val="24"/>
        </w:rPr>
        <w:t>de</w:t>
      </w:r>
      <w:r>
        <w:rPr>
          <w:spacing w:val="-2"/>
          <w:sz w:val="24"/>
        </w:rPr>
        <w:t> </w:t>
      </w:r>
      <w:r>
        <w:rPr>
          <w:sz w:val="24"/>
        </w:rPr>
        <w:t>medidas</w:t>
      </w:r>
      <w:r>
        <w:rPr>
          <w:spacing w:val="-4"/>
          <w:sz w:val="24"/>
        </w:rPr>
        <w:t> </w:t>
      </w:r>
      <w:r>
        <w:rPr>
          <w:sz w:val="24"/>
        </w:rPr>
        <w:t>específicas</w:t>
      </w:r>
      <w:r>
        <w:rPr>
          <w:spacing w:val="-3"/>
          <w:sz w:val="24"/>
        </w:rPr>
        <w:t> </w:t>
      </w:r>
      <w:r>
        <w:rPr>
          <w:sz w:val="24"/>
        </w:rPr>
        <w:t>dentro</w:t>
      </w:r>
      <w:r>
        <w:rPr>
          <w:spacing w:val="-2"/>
          <w:sz w:val="24"/>
        </w:rPr>
        <w:t> </w:t>
      </w:r>
      <w:r>
        <w:rPr>
          <w:sz w:val="24"/>
        </w:rPr>
        <w:t>de</w:t>
      </w:r>
      <w:r>
        <w:rPr>
          <w:spacing w:val="-3"/>
          <w:sz w:val="24"/>
        </w:rPr>
        <w:t> </w:t>
      </w:r>
      <w:r>
        <w:rPr>
          <w:sz w:val="24"/>
        </w:rPr>
        <w:t>la</w:t>
      </w:r>
      <w:r>
        <w:rPr>
          <w:spacing w:val="-2"/>
          <w:sz w:val="24"/>
        </w:rPr>
        <w:t> </w:t>
      </w:r>
      <w:r>
        <w:rPr>
          <w:sz w:val="24"/>
        </w:rPr>
        <w:t>meta</w:t>
      </w:r>
      <w:r>
        <w:rPr>
          <w:spacing w:val="-3"/>
          <w:sz w:val="24"/>
        </w:rPr>
        <w:t> </w:t>
      </w:r>
      <w:r>
        <w:rPr>
          <w:sz w:val="24"/>
        </w:rPr>
        <w:t>que</w:t>
      </w:r>
      <w:r>
        <w:rPr>
          <w:spacing w:val="-3"/>
          <w:sz w:val="24"/>
        </w:rPr>
        <w:t> </w:t>
      </w:r>
      <w:r>
        <w:rPr>
          <w:sz w:val="24"/>
        </w:rPr>
        <w:t>son</w:t>
      </w:r>
      <w:r>
        <w:rPr>
          <w:spacing w:val="-2"/>
          <w:sz w:val="24"/>
        </w:rPr>
        <w:t> </w:t>
      </w:r>
      <w:r>
        <w:rPr>
          <w:sz w:val="24"/>
        </w:rPr>
        <w:t>aplicables</w:t>
      </w:r>
      <w:r>
        <w:rPr>
          <w:spacing w:val="-4"/>
          <w:sz w:val="24"/>
        </w:rPr>
        <w:t> </w:t>
      </w:r>
      <w:r>
        <w:rPr>
          <w:sz w:val="24"/>
        </w:rPr>
        <w:t>a</w:t>
      </w:r>
      <w:r>
        <w:rPr>
          <w:spacing w:val="-2"/>
          <w:sz w:val="24"/>
        </w:rPr>
        <w:t> </w:t>
      </w:r>
      <w:r>
        <w:rPr>
          <w:sz w:val="24"/>
        </w:rPr>
        <w:t>las</w:t>
      </w:r>
      <w:r>
        <w:rPr>
          <w:spacing w:val="-3"/>
          <w:sz w:val="24"/>
        </w:rPr>
        <w:t> </w:t>
      </w:r>
      <w:r>
        <w:rPr>
          <w:sz w:val="24"/>
        </w:rPr>
        <w:t>acciones. Agrupando acciones con medidas permitirá un análisis más robusto sobre si es que la estrategia que está usando el LEA para impactar un grupo especificado de medidas está funcionando y aumentar transparencia para los involucrados. Los LEA son alentados usar tal enfoque cuando metas incluyen múltiple acciones y medidas que no son estrechamente</w:t>
      </w:r>
      <w:r>
        <w:rPr>
          <w:spacing w:val="-16"/>
          <w:sz w:val="24"/>
        </w:rPr>
        <w:t> </w:t>
      </w:r>
      <w:r>
        <w:rPr>
          <w:sz w:val="24"/>
        </w:rPr>
        <w:t>asociadas.</w:t>
      </w:r>
    </w:p>
    <w:p>
      <w:pPr>
        <w:pStyle w:val="BodyText"/>
        <w:spacing w:before="9"/>
        <w:rPr>
          <w:sz w:val="20"/>
        </w:rPr>
      </w:pPr>
    </w:p>
    <w:p>
      <w:pPr>
        <w:pStyle w:val="ListParagraph"/>
        <w:numPr>
          <w:ilvl w:val="0"/>
          <w:numId w:val="3"/>
        </w:numPr>
        <w:tabs>
          <w:tab w:pos="959" w:val="left" w:leader="none"/>
          <w:tab w:pos="960" w:val="left" w:leader="none"/>
        </w:tabs>
        <w:spacing w:line="240" w:lineRule="auto" w:before="0" w:after="0"/>
        <w:ind w:left="960" w:right="256" w:hanging="360"/>
        <w:jc w:val="left"/>
        <w:rPr>
          <w:sz w:val="24"/>
        </w:rPr>
      </w:pPr>
      <w:r>
        <w:rPr>
          <w:sz w:val="24"/>
        </w:rPr>
        <w:t>Describa cualquier cambio hecho a esta meta, resultados deseados, medidas o acciones para lograr esta meta como resultado de este análisis y análisis de los datos proporcionados en la Interfaz (</w:t>
      </w:r>
      <w:r>
        <w:rPr>
          <w:i/>
          <w:sz w:val="24"/>
        </w:rPr>
        <w:t>Dashboard</w:t>
      </w:r>
      <w:r>
        <w:rPr>
          <w:sz w:val="24"/>
        </w:rPr>
        <w:t>) u otros datos locales, según</w:t>
      </w:r>
      <w:r>
        <w:rPr>
          <w:spacing w:val="-19"/>
          <w:sz w:val="24"/>
        </w:rPr>
        <w:t> </w:t>
      </w:r>
      <w:r>
        <w:rPr>
          <w:sz w:val="24"/>
        </w:rPr>
        <w:t>corresponda.</w:t>
      </w:r>
    </w:p>
    <w:p>
      <w:pPr>
        <w:pStyle w:val="BodyText"/>
        <w:spacing w:before="4"/>
        <w:rPr>
          <w:sz w:val="17"/>
        </w:rPr>
      </w:pPr>
      <w:r>
        <w:rPr/>
        <w:pict>
          <v:shape style="position:absolute;margin-left:11.425pt;margin-top:13.073683pt;width:769.15pt;height:50.25pt;mso-position-horizontal-relative:page;mso-position-vertical-relative:paragraph;z-index:-251585536;mso-wrap-distance-left:0;mso-wrap-distance-right:0" type="#_x0000_t202" filled="true" fillcolor="#dbe5f1" stroked="true" strokeweight="2.25pt" strokecolor="#000000">
            <v:textbox inset="0,0,0,0">
              <w:txbxContent>
                <w:p>
                  <w:pPr>
                    <w:spacing w:before="20"/>
                    <w:ind w:left="108" w:right="1605" w:firstLine="0"/>
                    <w:jc w:val="left"/>
                    <w:rPr>
                      <w:b/>
                      <w:sz w:val="40"/>
                    </w:rPr>
                  </w:pPr>
                  <w:bookmarkStart w:name="Servicios Aumentados o Mejorados para Jó" w:id="58"/>
                  <w:bookmarkEnd w:id="58"/>
                  <w:r>
                    <w:rPr/>
                  </w:r>
                  <w:r>
                    <w:rPr>
                      <w:b/>
                      <w:sz w:val="40"/>
                    </w:rPr>
                    <w:t>Servicios Aumentados o Mejorados para Jóvenes de Crianza Temporal, Estudiantes del Inglés y Alumnos de Escasos Recursos</w:t>
                  </w:r>
                </w:p>
              </w:txbxContent>
            </v:textbox>
            <v:fill type="solid"/>
            <v:stroke dashstyle="solid"/>
            <w10:wrap type="topAndBottom"/>
          </v:shape>
        </w:pict>
      </w:r>
    </w:p>
    <w:p>
      <w:pPr>
        <w:pStyle w:val="Heading3"/>
        <w:spacing w:before="30"/>
      </w:pPr>
      <w:bookmarkStart w:name="Propósito" w:id="59"/>
      <w:bookmarkEnd w:id="59"/>
      <w:r>
        <w:rPr>
          <w:b w:val="0"/>
        </w:rPr>
      </w:r>
      <w:r>
        <w:rPr/>
        <w:t>Propósito</w:t>
      </w:r>
    </w:p>
    <w:p>
      <w:pPr>
        <w:pStyle w:val="BodyText"/>
        <w:spacing w:before="60"/>
        <w:ind w:left="240" w:right="256"/>
        <w:jc w:val="both"/>
      </w:pPr>
      <w:r>
        <w:rPr/>
        <w:t>Una sección Servicios Aumentados o Mejorados bien redactada le proporciona a los involucrados con una descripción integral, dentro de una sección singular dedicada, sobre como el LEA planea aumentar o mejorar servicios para sus alumnos sin duplicación en comparación a todos los alumnos y como las acciones a nivel del LEA o escolar identificadas para este propósito cumplen los requisitos reglamentarios.</w:t>
      </w:r>
    </w:p>
    <w:p>
      <w:pPr>
        <w:pStyle w:val="BodyText"/>
        <w:ind w:left="240"/>
        <w:jc w:val="both"/>
      </w:pPr>
      <w:r>
        <w:rPr/>
        <w:t>Descripciones proporcionadas deben incluir detalle, pero aun ser suficientemente abreviadas como para promover un mayor entendimiento a</w:t>
      </w:r>
    </w:p>
    <w:p>
      <w:pPr>
        <w:spacing w:after="0"/>
        <w:jc w:val="both"/>
        <w:sectPr>
          <w:pgSz w:w="15840" w:h="12240" w:orient="landscape"/>
          <w:pgMar w:header="0" w:footer="284" w:top="560" w:bottom="560" w:left="120" w:right="120"/>
        </w:sectPr>
      </w:pPr>
    </w:p>
    <w:p>
      <w:pPr>
        <w:pStyle w:val="BodyText"/>
        <w:spacing w:before="76"/>
        <w:ind w:left="240" w:right="771"/>
      </w:pPr>
      <w:r>
        <w:rPr/>
        <w:t>los involucrados para facilitar su habilidad para proporcionar aporte. La descripción LEA en esta sección debe alinearse con las acciones incluidas en la sección Metas y Acciones como contribuyendo.</w:t>
      </w:r>
    </w:p>
    <w:p>
      <w:pPr>
        <w:pStyle w:val="BodyText"/>
        <w:spacing w:before="10"/>
        <w:rPr>
          <w:sz w:val="20"/>
        </w:rPr>
      </w:pPr>
    </w:p>
    <w:p>
      <w:pPr>
        <w:pStyle w:val="Heading3"/>
      </w:pPr>
      <w:bookmarkStart w:name="Requisitos e Instrucciones" w:id="60"/>
      <w:bookmarkEnd w:id="60"/>
      <w:r>
        <w:rPr>
          <w:b w:val="0"/>
        </w:rPr>
      </w:r>
      <w:r>
        <w:rPr/>
        <w:t>Requisitos e Instrucciones</w:t>
      </w:r>
    </w:p>
    <w:p>
      <w:pPr>
        <w:pStyle w:val="BodyText"/>
        <w:spacing w:before="60"/>
        <w:ind w:left="240"/>
      </w:pPr>
      <w:r>
        <w:rPr/>
        <w:t>Esta sección debe completarse para cada año LCAP.</w:t>
      </w:r>
    </w:p>
    <w:p>
      <w:pPr>
        <w:pStyle w:val="BodyText"/>
        <w:spacing w:before="10"/>
        <w:rPr>
          <w:sz w:val="20"/>
        </w:rPr>
      </w:pPr>
    </w:p>
    <w:p>
      <w:pPr>
        <w:pStyle w:val="BodyText"/>
        <w:ind w:left="240" w:right="264"/>
      </w:pPr>
      <w:r>
        <w:rPr/>
        <w:t>Al desarrollar el LCAP en año 2 o año 3, copee la sección “Aumento o Mejoramiento de Servicios” e incluya el año LCAP que corresponde. Usando la copia de la sección, complete la sección según se requiere para el año LCAP relevante. Guarde las secciones de todos los previos años para cada uno de los tres años dentro del LCAP.</w:t>
      </w:r>
    </w:p>
    <w:p>
      <w:pPr>
        <w:pStyle w:val="BodyText"/>
        <w:spacing w:before="10"/>
        <w:rPr>
          <w:sz w:val="20"/>
        </w:rPr>
      </w:pPr>
    </w:p>
    <w:p>
      <w:pPr>
        <w:pStyle w:val="BodyText"/>
        <w:ind w:left="240" w:right="226"/>
      </w:pPr>
      <w:r>
        <w:rPr>
          <w:b/>
          <w:i/>
        </w:rPr>
        <w:t>Porcentaje para Aumento o Mejoramiento de Servicios</w:t>
      </w:r>
      <w:r>
        <w:rPr>
          <w:b/>
        </w:rPr>
        <w:t>: </w:t>
      </w:r>
      <w:r>
        <w:rPr/>
        <w:t>Identifique el porcentaje por cual los servicios para alumnos sin duplicación deben aumentar o mejorar en comparación a los servicios proporcionados a todos los alumnos en el año LCAP según se calcula de acuerdo con 5 </w:t>
      </w:r>
      <w:r>
        <w:rPr>
          <w:i/>
        </w:rPr>
        <w:t>CCR </w:t>
      </w:r>
      <w:r>
        <w:rPr/>
        <w:t>Sección 15496(a)(7).</w:t>
      </w:r>
    </w:p>
    <w:p>
      <w:pPr>
        <w:pStyle w:val="BodyText"/>
        <w:spacing w:before="10"/>
        <w:rPr>
          <w:sz w:val="20"/>
        </w:rPr>
      </w:pPr>
    </w:p>
    <w:p>
      <w:pPr>
        <w:spacing w:before="0"/>
        <w:ind w:left="240" w:right="557" w:firstLine="0"/>
        <w:jc w:val="left"/>
        <w:rPr>
          <w:sz w:val="24"/>
        </w:rPr>
      </w:pPr>
      <w:r>
        <w:rPr>
          <w:b/>
          <w:i/>
          <w:sz w:val="24"/>
        </w:rPr>
        <w:t>Mayor Distribución basado en la inscripción de Jóvenes de Crianza Temporal, Estudiantes del Inglés y Alumnos de Escasos </w:t>
      </w:r>
      <w:r>
        <w:rPr>
          <w:b/>
          <w:i/>
          <w:sz w:val="24"/>
        </w:rPr>
        <w:t>Recursos: </w:t>
      </w:r>
      <w:r>
        <w:rPr>
          <w:sz w:val="24"/>
        </w:rPr>
        <w:t>Especifique el estimado de la cantidad de fondos distribuidos a base de la cantidad y concentración de alumnos sin duplicación para el año LCAP.</w:t>
      </w:r>
    </w:p>
    <w:p>
      <w:pPr>
        <w:pStyle w:val="BodyText"/>
        <w:spacing w:before="10"/>
        <w:rPr>
          <w:sz w:val="20"/>
        </w:rPr>
      </w:pPr>
    </w:p>
    <w:p>
      <w:pPr>
        <w:pStyle w:val="Heading4"/>
        <w:rPr>
          <w:i/>
        </w:rPr>
      </w:pPr>
      <w:r>
        <w:rPr>
          <w:i/>
        </w:rPr>
        <w:t>Descripciones Requeridas:</w:t>
      </w:r>
    </w:p>
    <w:p>
      <w:pPr>
        <w:pStyle w:val="BodyText"/>
        <w:spacing w:before="9"/>
        <w:rPr>
          <w:b/>
          <w:i/>
          <w:sz w:val="18"/>
        </w:rPr>
      </w:pPr>
      <w:r>
        <w:rPr/>
        <w:pict>
          <v:shape style="position:absolute;margin-left:16.549999pt;margin-top:12.006476pt;width:758.9pt;height:55.2pt;mso-position-horizontal-relative:page;mso-position-vertical-relative:paragraph;z-index:-251584512;mso-wrap-distance-left:0;mso-wrap-distance-right:0" type="#_x0000_t202" filled="true" fillcolor="#deeaf5" stroked="false">
            <v:textbox inset="0,0,0,0">
              <w:txbxContent>
                <w:p>
                  <w:pPr>
                    <w:spacing w:before="0"/>
                    <w:ind w:left="29" w:right="671" w:firstLine="0"/>
                    <w:jc w:val="left"/>
                    <w:rPr>
                      <w:b/>
                      <w:sz w:val="24"/>
                    </w:rPr>
                  </w:pPr>
                  <w:r>
                    <w:rPr>
                      <w:b/>
                      <w:sz w:val="24"/>
                    </w:rPr>
                    <w:t>Para cada acción siendo proporcionada a una escuela entera, o a lo largo del distrito escolar entero u oficina de educación del condado (COE, por sus siglas en inglés), una explicación sobre (1) como las necesidades de jóvenes de crianza temporal, estudiantes del inglés y alumnos de bajos ingresos fueron consideradas primero y (2) como estas acciones son efectivas en cumplir las metas para estos alumnos.</w:t>
                  </w:r>
                </w:p>
              </w:txbxContent>
            </v:textbox>
            <v:fill type="solid"/>
            <w10:wrap type="topAndBottom"/>
          </v:shape>
        </w:pict>
      </w:r>
    </w:p>
    <w:p>
      <w:pPr>
        <w:pStyle w:val="BodyText"/>
        <w:spacing w:before="6"/>
        <w:rPr>
          <w:b/>
          <w:i/>
          <w:sz w:val="11"/>
        </w:rPr>
      </w:pPr>
    </w:p>
    <w:p>
      <w:pPr>
        <w:pStyle w:val="BodyText"/>
        <w:spacing w:before="92"/>
        <w:ind w:left="240" w:right="255"/>
      </w:pPr>
      <w:r>
        <w:rPr/>
        <w:t>Para cada acción incluida en la sección Metas y Acciones como contribuyendo al requisito de aumento o mejoramiento de servicios para alumnos sin duplicación y proporcionada a nivel del LEA o a nivel escolar, el LEA debe incluir una explicación consistente con 5 CCR Sección 15496(b). Para cualquier tal acción continuada en el LCAP de 2021–24 LCAP del LCAP de 2017–20, el LEA debe determinar si es que o no la acción fue efectiva como se esperaba, y esta determinación debe reflejar evidencia de datos de resultados o implementación actual hasta la fecha.</w:t>
      </w:r>
    </w:p>
    <w:p>
      <w:pPr>
        <w:pStyle w:val="BodyText"/>
        <w:spacing w:before="10"/>
        <w:rPr>
          <w:sz w:val="20"/>
        </w:rPr>
      </w:pPr>
    </w:p>
    <w:p>
      <w:pPr>
        <w:pStyle w:val="BodyText"/>
        <w:ind w:left="240" w:right="906"/>
      </w:pPr>
      <w:r>
        <w:rPr>
          <w:b/>
        </w:rPr>
        <w:t>Principalmente Orientada y Efectiva: </w:t>
      </w:r>
      <w:r>
        <w:rPr/>
        <w:t>Un LEA demuestra como una acción es principalmente orientada hacia y efectiva en cumplir las metas del LEA para alumnos sin duplicación cuando el LEA explica como:</w:t>
      </w:r>
    </w:p>
    <w:p>
      <w:pPr>
        <w:pStyle w:val="BodyText"/>
        <w:spacing w:before="10"/>
        <w:rPr>
          <w:sz w:val="20"/>
        </w:rPr>
      </w:pPr>
    </w:p>
    <w:p>
      <w:pPr>
        <w:pStyle w:val="ListParagraph"/>
        <w:numPr>
          <w:ilvl w:val="0"/>
          <w:numId w:val="5"/>
        </w:numPr>
        <w:tabs>
          <w:tab w:pos="959" w:val="left" w:leader="none"/>
          <w:tab w:pos="960" w:val="left" w:leader="none"/>
        </w:tabs>
        <w:spacing w:line="240" w:lineRule="auto" w:before="0" w:after="0"/>
        <w:ind w:left="960" w:right="0" w:hanging="360"/>
        <w:jc w:val="left"/>
        <w:rPr>
          <w:sz w:val="24"/>
        </w:rPr>
      </w:pPr>
      <w:r>
        <w:rPr>
          <w:sz w:val="24"/>
        </w:rPr>
        <w:t>Considera las necesidades, condiciones o circunstancias de sus alumnos sin</w:t>
      </w:r>
      <w:r>
        <w:rPr>
          <w:spacing w:val="-8"/>
          <w:sz w:val="24"/>
        </w:rPr>
        <w:t> </w:t>
      </w:r>
      <w:r>
        <w:rPr>
          <w:sz w:val="24"/>
        </w:rPr>
        <w:t>duplicación;</w:t>
      </w:r>
    </w:p>
    <w:p>
      <w:pPr>
        <w:pStyle w:val="BodyText"/>
        <w:spacing w:before="10"/>
        <w:rPr>
          <w:sz w:val="20"/>
        </w:rPr>
      </w:pPr>
    </w:p>
    <w:p>
      <w:pPr>
        <w:pStyle w:val="ListParagraph"/>
        <w:numPr>
          <w:ilvl w:val="0"/>
          <w:numId w:val="5"/>
        </w:numPr>
        <w:tabs>
          <w:tab w:pos="959" w:val="left" w:leader="none"/>
          <w:tab w:pos="960" w:val="left" w:leader="none"/>
        </w:tabs>
        <w:spacing w:line="240" w:lineRule="auto" w:before="0" w:after="0"/>
        <w:ind w:left="960" w:right="1256" w:hanging="360"/>
        <w:jc w:val="left"/>
        <w:rPr>
          <w:sz w:val="24"/>
        </w:rPr>
      </w:pPr>
      <w:r>
        <w:rPr>
          <w:sz w:val="24"/>
        </w:rPr>
        <w:t>La acción o aspectos de la acción (incluyendo, por ejemplo, su diseño, contenido, métodos o ubicación) está basado en estas consideraciones;</w:t>
      </w:r>
      <w:r>
        <w:rPr>
          <w:spacing w:val="-2"/>
          <w:sz w:val="24"/>
        </w:rPr>
        <w:t> </w:t>
      </w:r>
      <w:r>
        <w:rPr>
          <w:sz w:val="24"/>
        </w:rPr>
        <w:t>y</w:t>
      </w:r>
    </w:p>
    <w:p>
      <w:pPr>
        <w:pStyle w:val="BodyText"/>
        <w:spacing w:before="10"/>
        <w:rPr>
          <w:sz w:val="20"/>
        </w:rPr>
      </w:pPr>
    </w:p>
    <w:p>
      <w:pPr>
        <w:pStyle w:val="ListParagraph"/>
        <w:numPr>
          <w:ilvl w:val="0"/>
          <w:numId w:val="5"/>
        </w:numPr>
        <w:tabs>
          <w:tab w:pos="959" w:val="left" w:leader="none"/>
          <w:tab w:pos="960" w:val="left" w:leader="none"/>
        </w:tabs>
        <w:spacing w:line="240" w:lineRule="auto" w:before="0" w:after="0"/>
        <w:ind w:left="960" w:right="0" w:hanging="360"/>
        <w:jc w:val="left"/>
        <w:rPr>
          <w:sz w:val="24"/>
        </w:rPr>
      </w:pPr>
      <w:r>
        <w:rPr>
          <w:sz w:val="24"/>
        </w:rPr>
        <w:t>La acción está diseñada ayudar lograr un deseado resultado mensurable de la meta</w:t>
      </w:r>
      <w:r>
        <w:rPr>
          <w:spacing w:val="-12"/>
          <w:sz w:val="24"/>
        </w:rPr>
        <w:t> </w:t>
      </w:r>
      <w:r>
        <w:rPr>
          <w:sz w:val="24"/>
        </w:rPr>
        <w:t>asociada.</w:t>
      </w:r>
    </w:p>
    <w:p>
      <w:pPr>
        <w:spacing w:after="0" w:line="240" w:lineRule="auto"/>
        <w:jc w:val="left"/>
        <w:rPr>
          <w:sz w:val="24"/>
        </w:rPr>
        <w:sectPr>
          <w:pgSz w:w="15840" w:h="12240" w:orient="landscape"/>
          <w:pgMar w:header="0" w:footer="284" w:top="560" w:bottom="560" w:left="120" w:right="120"/>
        </w:sectPr>
      </w:pPr>
    </w:p>
    <w:p>
      <w:pPr>
        <w:pStyle w:val="BodyText"/>
        <w:spacing w:before="76"/>
        <w:ind w:left="240"/>
      </w:pPr>
      <w:r>
        <w:rPr/>
        <w:t>Como tal, la respuesta proporcionada en esta sección puede depender en una evaluación de necesidades de alumnos sin duplicación.</w:t>
      </w:r>
    </w:p>
    <w:p>
      <w:pPr>
        <w:pStyle w:val="BodyText"/>
        <w:spacing w:before="10"/>
        <w:rPr>
          <w:sz w:val="20"/>
        </w:rPr>
      </w:pPr>
    </w:p>
    <w:p>
      <w:pPr>
        <w:pStyle w:val="BodyText"/>
        <w:ind w:left="240" w:right="238"/>
      </w:pPr>
      <w:r>
        <w:rPr/>
        <w:t>Declaraciones de conclusión que un servicio ayudará a lograr un resultado deseado para la meta, sin una explicita conexión o mayor explicación sobre cómo, no son suficiente. Aún más, simplemente declarando que un LEA tiene un alto porcentaje de inscripción de grupo o grupos estudiantil(es) específico (es) no cumple la norma de aumento o mejoramiento de servicios debido a que alumnos inscribiéndose no lo es mismo que alumnos recibiendo servicio.</w:t>
      </w:r>
    </w:p>
    <w:p>
      <w:pPr>
        <w:pStyle w:val="BodyText"/>
        <w:spacing w:before="10"/>
        <w:rPr>
          <w:sz w:val="20"/>
        </w:rPr>
      </w:pPr>
    </w:p>
    <w:p>
      <w:pPr>
        <w:pStyle w:val="BodyText"/>
        <w:ind w:left="240" w:right="851"/>
      </w:pPr>
      <w:r>
        <w:rPr/>
        <w:t>Por ejemplo, si un LEA determina que alumnos de bajos ingresos tienen una tasa de asistencia significativamente inferior que la tasa de asistencia para todos los alumnos podrá justificar acciones a nivel del LEA o a nivel escolar para abordar esta área de necesidad de la siguiente manera:</w:t>
      </w:r>
    </w:p>
    <w:p>
      <w:pPr>
        <w:pStyle w:val="BodyText"/>
        <w:spacing w:before="10"/>
        <w:rPr>
          <w:sz w:val="20"/>
        </w:rPr>
      </w:pPr>
    </w:p>
    <w:p>
      <w:pPr>
        <w:pStyle w:val="BodyText"/>
        <w:ind w:left="960" w:right="358"/>
      </w:pPr>
      <w:r>
        <w:rPr/>
        <w:t>después de evaluar las necesidades, condiciones y circunstancias de nuestros alumnos de bajos ingresos, aprendimos que la tasa de asistencia de nuestros alumnos de bajos ingresos es 7% inferior a la tasa de asistencia de todos los alumnos. (Necesidades, Condiciones, Circunstancias [Principalmente Orientado])</w:t>
      </w:r>
    </w:p>
    <w:p>
      <w:pPr>
        <w:pStyle w:val="BodyText"/>
        <w:spacing w:before="10"/>
        <w:rPr>
          <w:sz w:val="20"/>
        </w:rPr>
      </w:pPr>
    </w:p>
    <w:p>
      <w:pPr>
        <w:pStyle w:val="BodyText"/>
        <w:ind w:left="960" w:right="637"/>
      </w:pPr>
      <w:r>
        <w:rPr/>
        <w:t>A fin de abordar esta condición de nuestros alumnos de bajos ingresos, vamos a desarrollar e implementar un nuevo programa de asistencia que está diseñado para abordar algunas de las causas principales de ausentismo, incluyendo falta de transporte viable y alimentos, así como un ambiente escolar que no enfatiza la importancia de asistencia. Meta N, Acciones X, Y e Z proporcionan recursos adicionales de alimentación y transporte, así como una campaña educativa a nivel distrital sobre los beneficios de tasa de alta asistencia. (Acciones Contribuyentes)</w:t>
      </w:r>
    </w:p>
    <w:p>
      <w:pPr>
        <w:pStyle w:val="BodyText"/>
        <w:spacing w:before="10"/>
        <w:rPr>
          <w:sz w:val="20"/>
        </w:rPr>
      </w:pPr>
    </w:p>
    <w:p>
      <w:pPr>
        <w:pStyle w:val="BodyText"/>
        <w:ind w:left="960" w:right="385"/>
      </w:pPr>
      <w:r>
        <w:rPr/>
        <w:t>Estas acciones están siendo proporcionadas a nivel del LEA y esperamos/deseamos que todos los alumnos con menos de una tasa de 100% asistencia se beneficien. Sin embargo, debido a la tasa de asistencia significativamente inferior de los alumnos de bajos ingresos y debido a que las acciones cumplen las necesidades más asociadas con los estreses crónicos y experiencias de un estatus en desventaja socioeconómica, anticipamos que la tasa de asistencia de nuestros alumnos de bajos ingresos aumentará significativamente más que la tasa de asistencia promedia de todos los otros alumnos. (Resultados Mensurables [Efectivo En])</w:t>
      </w:r>
    </w:p>
    <w:p>
      <w:pPr>
        <w:pStyle w:val="BodyText"/>
        <w:spacing w:before="10"/>
        <w:rPr>
          <w:sz w:val="20"/>
        </w:rPr>
      </w:pPr>
    </w:p>
    <w:p>
      <w:pPr>
        <w:pStyle w:val="BodyText"/>
        <w:ind w:left="240" w:right="238"/>
      </w:pPr>
      <w:r>
        <w:rPr>
          <w:b/>
        </w:rPr>
        <w:t>COE y Escuela Semiautónomas</w:t>
      </w:r>
      <w:r>
        <w:rPr/>
        <w:t>: Describa como acciones incluidas como contribuyendo a cumpliendo el requisito de aumento o mejoramiento de servicios a nivel del LEA son principalmente orientadas hacia y efectivas en cumplir sus metas para alumnos sin duplicación en las prioridades estatales y cualquier prioridad local según se detalla anteriormente. En el caso de COE y Escuelas Semiautónomas, a nivel escolar y a nivel del LEA son considerados sinónimos.</w:t>
      </w:r>
    </w:p>
    <w:p>
      <w:pPr>
        <w:pStyle w:val="BodyText"/>
        <w:spacing w:before="10"/>
        <w:rPr>
          <w:sz w:val="20"/>
        </w:rPr>
      </w:pPr>
    </w:p>
    <w:p>
      <w:pPr>
        <w:pStyle w:val="Heading3"/>
      </w:pPr>
      <w:r>
        <w:rPr/>
        <w:t>Únicamente para Distritos Escolares:</w:t>
      </w:r>
    </w:p>
    <w:p>
      <w:pPr>
        <w:spacing w:before="240"/>
        <w:ind w:left="240" w:right="0" w:firstLine="0"/>
        <w:jc w:val="left"/>
        <w:rPr>
          <w:b/>
          <w:sz w:val="24"/>
        </w:rPr>
      </w:pPr>
      <w:r>
        <w:rPr>
          <w:b/>
          <w:sz w:val="24"/>
        </w:rPr>
        <w:t>Acciones Proporcionadas a Nivel del LEA:</w:t>
      </w:r>
    </w:p>
    <w:p>
      <w:pPr>
        <w:pStyle w:val="BodyText"/>
        <w:spacing w:before="10"/>
        <w:rPr>
          <w:b/>
          <w:sz w:val="20"/>
        </w:rPr>
      </w:pPr>
    </w:p>
    <w:p>
      <w:pPr>
        <w:pStyle w:val="BodyText"/>
        <w:ind w:left="240" w:right="659"/>
      </w:pPr>
      <w:r>
        <w:rPr>
          <w:b/>
          <w:i/>
        </w:rPr>
        <w:t>Porcentaje sin Duplicación &gt; 55%: </w:t>
      </w:r>
      <w:r>
        <w:rPr/>
        <w:t>Para distritos escolares con un porcentaje de alumnos sin duplicación de 55% o más, describa como estas acciones son principalmente orientadas hacia y efectivas en cumplir sus metas para alumnos sin duplicación en las prioridades estatales y cualquier prioridad local según se detalla anteriormente.</w:t>
      </w:r>
    </w:p>
    <w:p>
      <w:pPr>
        <w:spacing w:after="0"/>
        <w:sectPr>
          <w:pgSz w:w="15840" w:h="12240" w:orient="landscape"/>
          <w:pgMar w:header="0" w:footer="284" w:top="560" w:bottom="560" w:left="120" w:right="120"/>
        </w:sectPr>
      </w:pPr>
    </w:p>
    <w:p>
      <w:pPr>
        <w:pStyle w:val="BodyText"/>
        <w:spacing w:before="76"/>
        <w:ind w:left="240" w:right="259"/>
      </w:pPr>
      <w:r>
        <w:rPr>
          <w:b/>
          <w:i/>
        </w:rPr>
        <w:t>Porcentaje sin Duplicación &lt; 55%: </w:t>
      </w:r>
      <w:r>
        <w:rPr/>
        <w:t>Para distritos escolares con un porcentaje de alumnos sin duplicación de menos de 55%, describa como estas acciones son principalmente orientadas hacia y efectivas en cumplir sus metas para alumnos sin duplicación en las prioridades estatales y cualquier prioridad local. También describa como las acciones </w:t>
      </w:r>
      <w:r>
        <w:rPr>
          <w:b/>
        </w:rPr>
        <w:t>son el uso más efectivo de los fondos </w:t>
      </w:r>
      <w:r>
        <w:rPr/>
        <w:t>para cumplir estas metas para sus alumnos sin duplicación. Proporcione la razón por esta determinación, incluyendo cualquier alternativo considerado, apoyando investigación, experiencia o teoría</w:t>
      </w:r>
      <w:r>
        <w:rPr>
          <w:spacing w:val="-2"/>
        </w:rPr>
        <w:t> </w:t>
      </w:r>
      <w:r>
        <w:rPr/>
        <w:t>educativa.</w:t>
      </w:r>
    </w:p>
    <w:p>
      <w:pPr>
        <w:pStyle w:val="BodyText"/>
        <w:spacing w:before="10"/>
        <w:rPr>
          <w:sz w:val="20"/>
        </w:rPr>
      </w:pPr>
    </w:p>
    <w:p>
      <w:pPr>
        <w:spacing w:before="0"/>
        <w:ind w:left="240" w:right="0" w:firstLine="0"/>
        <w:jc w:val="left"/>
        <w:rPr>
          <w:b/>
          <w:sz w:val="24"/>
        </w:rPr>
      </w:pPr>
      <w:r>
        <w:rPr>
          <w:b/>
          <w:sz w:val="24"/>
        </w:rPr>
        <w:t>Acciones Proporcionadas a Nivel</w:t>
      </w:r>
      <w:r>
        <w:rPr>
          <w:b/>
          <w:spacing w:val="-13"/>
          <w:sz w:val="24"/>
        </w:rPr>
        <w:t> </w:t>
      </w:r>
      <w:r>
        <w:rPr>
          <w:b/>
          <w:sz w:val="24"/>
        </w:rPr>
        <w:t>Escolar:</w:t>
      </w:r>
    </w:p>
    <w:p>
      <w:pPr>
        <w:pStyle w:val="BodyText"/>
        <w:spacing w:before="10"/>
        <w:rPr>
          <w:b/>
          <w:sz w:val="20"/>
        </w:rPr>
      </w:pPr>
    </w:p>
    <w:p>
      <w:pPr>
        <w:pStyle w:val="BodyText"/>
        <w:ind w:left="240" w:right="451"/>
      </w:pPr>
      <w:r>
        <w:rPr/>
        <w:t>Los Distritos Escolares deben identificar en la descripción aquellas acciones siendo financiadas y proporcionadas a nivel escolar, e incluir la requerida descripción apoyando el uso de los fondos a nivel escolar.</w:t>
      </w:r>
    </w:p>
    <w:p>
      <w:pPr>
        <w:pStyle w:val="BodyText"/>
        <w:spacing w:before="10"/>
        <w:rPr>
          <w:sz w:val="20"/>
        </w:rPr>
      </w:pPr>
    </w:p>
    <w:p>
      <w:pPr>
        <w:spacing w:before="0"/>
        <w:ind w:left="240" w:right="707" w:firstLine="0"/>
        <w:jc w:val="left"/>
        <w:rPr>
          <w:sz w:val="24"/>
        </w:rPr>
      </w:pPr>
      <w:r>
        <w:rPr>
          <w:b/>
          <w:sz w:val="24"/>
        </w:rPr>
        <w:t>Para escuelas con 40% o más inscripción de alumnos sin duplicación: </w:t>
      </w:r>
      <w:r>
        <w:rPr>
          <w:sz w:val="24"/>
        </w:rPr>
        <w:t>Describa como estas acciones son principalmente orientadas para y efectivas en cumplir sus metas para sus alumnos sin duplicación en las prioridades estatales y en cualquier prioridad local.</w:t>
      </w:r>
    </w:p>
    <w:p>
      <w:pPr>
        <w:pStyle w:val="BodyText"/>
        <w:spacing w:before="10"/>
        <w:rPr>
          <w:sz w:val="20"/>
        </w:rPr>
      </w:pPr>
    </w:p>
    <w:p>
      <w:pPr>
        <w:spacing w:before="0"/>
        <w:ind w:left="240" w:right="319" w:firstLine="0"/>
        <w:jc w:val="left"/>
        <w:rPr>
          <w:sz w:val="24"/>
        </w:rPr>
      </w:pPr>
      <w:r>
        <w:rPr>
          <w:b/>
          <w:sz w:val="24"/>
        </w:rPr>
        <w:t>Para distritos escolares utilizando fondos a nivel escolar en una escuela con menos de 40% inscripción de alumnos sin duplicación: </w:t>
      </w:r>
      <w:r>
        <w:rPr>
          <w:sz w:val="24"/>
        </w:rPr>
        <w:t>Describa como estas acciones son principalmente orientadas para y como las acciones son el uso más efectivo de fondos para cumplir sus metas para jóvenes de crianza temporal, estudiantes del inglés y alumnos de bajos ingresos en las prioridades estatales y en cualquier prioridad local.</w:t>
      </w:r>
    </w:p>
    <w:p>
      <w:pPr>
        <w:pStyle w:val="BodyText"/>
        <w:spacing w:before="9"/>
        <w:rPr>
          <w:sz w:val="18"/>
        </w:rPr>
      </w:pPr>
      <w:r>
        <w:rPr/>
        <w:pict>
          <v:shape style="position:absolute;margin-left:16.549999pt;margin-top:12.005317pt;width:758.9pt;height:27.6pt;mso-position-horizontal-relative:page;mso-position-vertical-relative:paragraph;z-index:-251583488;mso-wrap-distance-left:0;mso-wrap-distance-right:0" type="#_x0000_t202" filled="true" fillcolor="#deeaf5" stroked="false">
            <v:textbox inset="0,0,0,0">
              <w:txbxContent>
                <w:p>
                  <w:pPr>
                    <w:spacing w:before="0"/>
                    <w:ind w:left="29" w:right="337" w:firstLine="0"/>
                    <w:jc w:val="left"/>
                    <w:rPr>
                      <w:b/>
                      <w:sz w:val="24"/>
                    </w:rPr>
                  </w:pPr>
                  <w:r>
                    <w:rPr>
                      <w:b/>
                      <w:sz w:val="24"/>
                    </w:rPr>
                    <w:t>“Una descripción sobre como los servicios para jóvenes de crianza temporal, estudiantes del inglés y alumnos de bajos ingresos están siendo aumentados o mejorados por el porcentaje requerido.”</w:t>
                  </w:r>
                </w:p>
              </w:txbxContent>
            </v:textbox>
            <v:fill type="solid"/>
            <w10:wrap type="topAndBottom"/>
          </v:shape>
        </w:pict>
      </w:r>
    </w:p>
    <w:p>
      <w:pPr>
        <w:pStyle w:val="BodyText"/>
        <w:spacing w:before="6"/>
        <w:rPr>
          <w:sz w:val="11"/>
        </w:rPr>
      </w:pPr>
    </w:p>
    <w:p>
      <w:pPr>
        <w:pStyle w:val="BodyText"/>
        <w:spacing w:before="92"/>
        <w:ind w:left="240" w:right="280"/>
      </w:pPr>
      <w:r>
        <w:rPr/>
        <w:t>Consistente con los requisitos de 5 </w:t>
      </w:r>
      <w:r>
        <w:rPr>
          <w:i/>
        </w:rPr>
        <w:t>CCR </w:t>
      </w:r>
      <w:r>
        <w:rPr/>
        <w:t>Sección 15496, describa como los servicios proporcionados para alumnos sin duplicación son aumentados o mejorados por al menos el porcentaje calculado en comparación a los servicios proporcionados para todos los alumnos en el año LCAP. Para mejorar servicios significa desarrollar servicios en calidad y aumentar servicios significa desarrollar los servicios en cantidad. Los servicios son aumentados o mejorados por aquellas acciones en el LCAP que son incluidas en la sección Metas y Acciones como contribuyendo al requisito de aumento o mejoramiento de servicios. Esta descripción debe abordar como estas acciones se esperan resultar en el requerido aumento o mejoramiento proporcional en servicios para alumnos sin duplicación en comparación a los servicios que el LEA proporciona a todos los alumnos para el año LCAP relevante.</w:t>
      </w:r>
    </w:p>
    <w:p>
      <w:pPr>
        <w:pStyle w:val="BodyText"/>
        <w:spacing w:before="5"/>
        <w:rPr>
          <w:sz w:val="17"/>
        </w:rPr>
      </w:pPr>
      <w:r>
        <w:rPr/>
        <w:pict>
          <v:shape style="position:absolute;margin-left:11.425pt;margin-top:13.151758pt;width:769.15pt;height:27.25pt;mso-position-horizontal-relative:page;mso-position-vertical-relative:paragraph;z-index:-251582464;mso-wrap-distance-left:0;mso-wrap-distance-right:0" type="#_x0000_t202" filled="true" fillcolor="#dbe5f1" stroked="true" strokeweight="2.25pt" strokecolor="#000000">
            <v:textbox inset="0,0,0,0">
              <w:txbxContent>
                <w:p>
                  <w:pPr>
                    <w:spacing w:before="20"/>
                    <w:ind w:left="108" w:right="0" w:firstLine="0"/>
                    <w:jc w:val="left"/>
                    <w:rPr>
                      <w:b/>
                      <w:sz w:val="40"/>
                    </w:rPr>
                  </w:pPr>
                  <w:bookmarkStart w:name="Tablas de Gastos" w:id="61"/>
                  <w:bookmarkEnd w:id="61"/>
                  <w:r>
                    <w:rPr/>
                  </w:r>
                  <w:r>
                    <w:rPr>
                      <w:b/>
                      <w:sz w:val="40"/>
                    </w:rPr>
                    <w:t>Tablas de Gastos</w:t>
                  </w:r>
                </w:p>
              </w:txbxContent>
            </v:textbox>
            <v:fill type="solid"/>
            <v:stroke dashstyle="solid"/>
            <w10:wrap type="topAndBottom"/>
          </v:shape>
        </w:pict>
      </w:r>
    </w:p>
    <w:p>
      <w:pPr>
        <w:pStyle w:val="BodyText"/>
        <w:spacing w:before="30"/>
        <w:ind w:left="240" w:right="531"/>
      </w:pPr>
      <w:r>
        <w:rPr/>
        <w:t>Complete la table Ingreso de Datos para cada acción en el LCAP. La información ingresada en esta tabla se llenará automáticamente en la otras Tablas de Gastos. Toda la información es ingresada en la tabla Ingreso de Datos. No ingrese datos en las otras tablas.</w:t>
      </w:r>
    </w:p>
    <w:p>
      <w:pPr>
        <w:pStyle w:val="BodyText"/>
        <w:spacing w:before="10"/>
        <w:rPr>
          <w:sz w:val="20"/>
        </w:rPr>
      </w:pPr>
    </w:p>
    <w:p>
      <w:pPr>
        <w:pStyle w:val="BodyText"/>
        <w:ind w:left="240"/>
      </w:pPr>
      <w:r>
        <w:rPr/>
        <w:t>Las siguientes tablas de gastos son requeridas ser incluidas en el LCAP según es adoptado por el consejo directivo local o cuerpo directivo:</w:t>
      </w:r>
    </w:p>
    <w:p>
      <w:pPr>
        <w:pStyle w:val="BodyText"/>
        <w:spacing w:before="10"/>
        <w:rPr>
          <w:sz w:val="20"/>
        </w:rPr>
      </w:pPr>
    </w:p>
    <w:p>
      <w:pPr>
        <w:pStyle w:val="ListParagraph"/>
        <w:numPr>
          <w:ilvl w:val="2"/>
          <w:numId w:val="2"/>
        </w:numPr>
        <w:tabs>
          <w:tab w:pos="959" w:val="left" w:leader="none"/>
          <w:tab w:pos="960" w:val="left" w:leader="none"/>
        </w:tabs>
        <w:spacing w:line="240" w:lineRule="auto" w:before="0" w:after="0"/>
        <w:ind w:left="960" w:right="0" w:hanging="360"/>
        <w:jc w:val="left"/>
        <w:rPr>
          <w:rFonts w:ascii="Symbol" w:hAnsi="Symbol"/>
          <w:sz w:val="24"/>
        </w:rPr>
      </w:pPr>
      <w:r>
        <w:rPr>
          <w:sz w:val="24"/>
        </w:rPr>
        <w:t>Tabla 1:</w:t>
      </w:r>
      <w:r>
        <w:rPr>
          <w:spacing w:val="-2"/>
          <w:sz w:val="24"/>
        </w:rPr>
        <w:t> </w:t>
      </w:r>
      <w:r>
        <w:rPr>
          <w:sz w:val="24"/>
        </w:rPr>
        <w:t>Acciones</w:t>
      </w:r>
    </w:p>
    <w:p>
      <w:pPr>
        <w:pStyle w:val="ListParagraph"/>
        <w:numPr>
          <w:ilvl w:val="2"/>
          <w:numId w:val="2"/>
        </w:numPr>
        <w:tabs>
          <w:tab w:pos="959" w:val="left" w:leader="none"/>
          <w:tab w:pos="960" w:val="left" w:leader="none"/>
        </w:tabs>
        <w:spacing w:line="240" w:lineRule="auto" w:before="238" w:after="0"/>
        <w:ind w:left="960" w:right="0" w:hanging="360"/>
        <w:jc w:val="left"/>
        <w:rPr>
          <w:rFonts w:ascii="Symbol" w:hAnsi="Symbol"/>
          <w:sz w:val="24"/>
        </w:rPr>
      </w:pPr>
      <w:r>
        <w:rPr>
          <w:sz w:val="24"/>
        </w:rPr>
        <w:t>Tabla 2: Gastos</w:t>
      </w:r>
      <w:r>
        <w:rPr>
          <w:spacing w:val="-3"/>
          <w:sz w:val="24"/>
        </w:rPr>
        <w:t> </w:t>
      </w:r>
      <w:r>
        <w:rPr>
          <w:sz w:val="24"/>
        </w:rPr>
        <w:t>Totales</w:t>
      </w:r>
    </w:p>
    <w:p>
      <w:pPr>
        <w:spacing w:after="0" w:line="240" w:lineRule="auto"/>
        <w:jc w:val="left"/>
        <w:rPr>
          <w:rFonts w:ascii="Symbol" w:hAnsi="Symbol"/>
          <w:sz w:val="24"/>
        </w:rPr>
        <w:sectPr>
          <w:pgSz w:w="15840" w:h="12240" w:orient="landscape"/>
          <w:pgMar w:header="0" w:footer="284" w:top="560" w:bottom="560" w:left="120" w:right="120"/>
        </w:sectPr>
      </w:pPr>
    </w:p>
    <w:p>
      <w:pPr>
        <w:pStyle w:val="ListParagraph"/>
        <w:numPr>
          <w:ilvl w:val="2"/>
          <w:numId w:val="2"/>
        </w:numPr>
        <w:tabs>
          <w:tab w:pos="959" w:val="left" w:leader="none"/>
          <w:tab w:pos="960" w:val="left" w:leader="none"/>
        </w:tabs>
        <w:spacing w:line="240" w:lineRule="auto" w:before="76" w:after="0"/>
        <w:ind w:left="960" w:right="0" w:hanging="360"/>
        <w:jc w:val="left"/>
        <w:rPr>
          <w:rFonts w:ascii="Symbol" w:hAnsi="Symbol"/>
          <w:sz w:val="24"/>
        </w:rPr>
      </w:pPr>
      <w:r>
        <w:rPr>
          <w:sz w:val="24"/>
        </w:rPr>
        <w:t>Tabla 3: Gastos</w:t>
      </w:r>
      <w:r>
        <w:rPr>
          <w:spacing w:val="-3"/>
          <w:sz w:val="24"/>
        </w:rPr>
        <w:t> </w:t>
      </w:r>
      <w:r>
        <w:rPr>
          <w:sz w:val="24"/>
        </w:rPr>
        <w:t>Contribuyentes</w:t>
      </w:r>
    </w:p>
    <w:p>
      <w:pPr>
        <w:pStyle w:val="ListParagraph"/>
        <w:numPr>
          <w:ilvl w:val="2"/>
          <w:numId w:val="2"/>
        </w:numPr>
        <w:tabs>
          <w:tab w:pos="959" w:val="left" w:leader="none"/>
          <w:tab w:pos="960" w:val="left" w:leader="none"/>
        </w:tabs>
        <w:spacing w:line="240" w:lineRule="auto" w:before="238" w:after="0"/>
        <w:ind w:left="960" w:right="0" w:hanging="360"/>
        <w:jc w:val="left"/>
        <w:rPr>
          <w:rFonts w:ascii="Symbol" w:hAnsi="Symbol"/>
          <w:sz w:val="24"/>
        </w:rPr>
      </w:pPr>
      <w:r>
        <w:rPr>
          <w:sz w:val="24"/>
        </w:rPr>
        <w:t>Tabla 4: Gastos de Actualización</w:t>
      </w:r>
      <w:r>
        <w:rPr>
          <w:spacing w:val="-4"/>
          <w:sz w:val="24"/>
        </w:rPr>
        <w:t> </w:t>
      </w:r>
      <w:r>
        <w:rPr>
          <w:sz w:val="24"/>
        </w:rPr>
        <w:t>Anual</w:t>
      </w:r>
    </w:p>
    <w:p>
      <w:pPr>
        <w:pStyle w:val="BodyText"/>
        <w:spacing w:before="238"/>
        <w:ind w:left="240" w:right="263"/>
      </w:pPr>
      <w:r>
        <w:rPr/>
        <w:t>La table Ingreso de Datos puede incluirse en el LCAP según es adoptada por el consejo directivo local o cuerpo directivo, pero no se requiere incluirse.</w:t>
      </w:r>
    </w:p>
    <w:p>
      <w:pPr>
        <w:pStyle w:val="BodyText"/>
        <w:spacing w:before="10"/>
        <w:rPr>
          <w:sz w:val="20"/>
        </w:rPr>
      </w:pPr>
    </w:p>
    <w:p>
      <w:pPr>
        <w:pStyle w:val="BodyText"/>
        <w:ind w:left="240"/>
      </w:pPr>
      <w:r>
        <w:rPr/>
        <w:t>En la table Ingreso de Datos, proporcione la siguiente información para cada acción en el LCAP para el año LCAP relevante:</w:t>
      </w:r>
    </w:p>
    <w:p>
      <w:pPr>
        <w:pStyle w:val="BodyText"/>
        <w:spacing w:before="10"/>
        <w:rPr>
          <w:sz w:val="20"/>
        </w:rPr>
      </w:pPr>
    </w:p>
    <w:p>
      <w:pPr>
        <w:pStyle w:val="ListParagraph"/>
        <w:numPr>
          <w:ilvl w:val="2"/>
          <w:numId w:val="2"/>
        </w:numPr>
        <w:tabs>
          <w:tab w:pos="959" w:val="left" w:leader="none"/>
          <w:tab w:pos="960" w:val="left" w:leader="none"/>
        </w:tabs>
        <w:spacing w:line="240" w:lineRule="auto" w:before="0" w:after="0"/>
        <w:ind w:left="960" w:right="0" w:hanging="360"/>
        <w:jc w:val="left"/>
        <w:rPr>
          <w:rFonts w:ascii="Symbol" w:hAnsi="Symbol"/>
          <w:sz w:val="24"/>
        </w:rPr>
      </w:pPr>
      <w:r>
        <w:rPr>
          <w:b/>
          <w:sz w:val="24"/>
        </w:rPr>
        <w:t># de Meta</w:t>
      </w:r>
      <w:r>
        <w:rPr>
          <w:sz w:val="24"/>
        </w:rPr>
        <w:t>: Incluya el número de Meta LCAP para la</w:t>
      </w:r>
      <w:r>
        <w:rPr>
          <w:spacing w:val="-4"/>
          <w:sz w:val="24"/>
        </w:rPr>
        <w:t> </w:t>
      </w:r>
      <w:r>
        <w:rPr>
          <w:sz w:val="24"/>
        </w:rPr>
        <w:t>acción.</w:t>
      </w:r>
    </w:p>
    <w:p>
      <w:pPr>
        <w:pStyle w:val="ListParagraph"/>
        <w:numPr>
          <w:ilvl w:val="2"/>
          <w:numId w:val="2"/>
        </w:numPr>
        <w:tabs>
          <w:tab w:pos="959" w:val="left" w:leader="none"/>
          <w:tab w:pos="960" w:val="left" w:leader="none"/>
        </w:tabs>
        <w:spacing w:line="240" w:lineRule="auto" w:before="238" w:after="0"/>
        <w:ind w:left="960" w:right="0" w:hanging="360"/>
        <w:jc w:val="left"/>
        <w:rPr>
          <w:rFonts w:ascii="Symbol" w:hAnsi="Symbol"/>
          <w:sz w:val="24"/>
        </w:rPr>
      </w:pPr>
      <w:r>
        <w:rPr>
          <w:b/>
          <w:sz w:val="24"/>
        </w:rPr>
        <w:t># de Acción</w:t>
      </w:r>
      <w:r>
        <w:rPr>
          <w:sz w:val="24"/>
        </w:rPr>
        <w:t>: Incluya el numero de la acción según es indicado en la Meta</w:t>
      </w:r>
      <w:r>
        <w:rPr>
          <w:spacing w:val="-8"/>
          <w:sz w:val="24"/>
        </w:rPr>
        <w:t> </w:t>
      </w:r>
      <w:r>
        <w:rPr>
          <w:sz w:val="24"/>
        </w:rPr>
        <w:t>LCAP.</w:t>
      </w:r>
    </w:p>
    <w:p>
      <w:pPr>
        <w:pStyle w:val="ListParagraph"/>
        <w:numPr>
          <w:ilvl w:val="2"/>
          <w:numId w:val="2"/>
        </w:numPr>
        <w:tabs>
          <w:tab w:pos="959" w:val="left" w:leader="none"/>
          <w:tab w:pos="960" w:val="left" w:leader="none"/>
        </w:tabs>
        <w:spacing w:line="240" w:lineRule="auto" w:before="238" w:after="0"/>
        <w:ind w:left="960" w:right="0" w:hanging="360"/>
        <w:jc w:val="left"/>
        <w:rPr>
          <w:rFonts w:ascii="Symbol" w:hAnsi="Symbol"/>
          <w:sz w:val="24"/>
        </w:rPr>
      </w:pPr>
      <w:r>
        <w:rPr>
          <w:b/>
          <w:sz w:val="24"/>
        </w:rPr>
        <w:t>Título de Acción</w:t>
      </w:r>
      <w:r>
        <w:rPr>
          <w:sz w:val="24"/>
        </w:rPr>
        <w:t>: Proporcione un título para la</w:t>
      </w:r>
      <w:r>
        <w:rPr>
          <w:spacing w:val="-5"/>
          <w:sz w:val="24"/>
        </w:rPr>
        <w:t> </w:t>
      </w:r>
      <w:r>
        <w:rPr>
          <w:sz w:val="24"/>
        </w:rPr>
        <w:t>acción.</w:t>
      </w:r>
    </w:p>
    <w:p>
      <w:pPr>
        <w:pStyle w:val="ListParagraph"/>
        <w:numPr>
          <w:ilvl w:val="2"/>
          <w:numId w:val="2"/>
        </w:numPr>
        <w:tabs>
          <w:tab w:pos="959" w:val="left" w:leader="none"/>
          <w:tab w:pos="960" w:val="left" w:leader="none"/>
        </w:tabs>
        <w:spacing w:line="240" w:lineRule="auto" w:before="238" w:after="0"/>
        <w:ind w:left="960" w:right="658" w:hanging="360"/>
        <w:jc w:val="left"/>
        <w:rPr>
          <w:rFonts w:ascii="Symbol" w:hAnsi="Symbol"/>
          <w:sz w:val="24"/>
        </w:rPr>
      </w:pPr>
      <w:r>
        <w:rPr>
          <w:b/>
          <w:sz w:val="24"/>
        </w:rPr>
        <w:t>Grupo(s) Estudiantil(es)</w:t>
      </w:r>
      <w:r>
        <w:rPr>
          <w:sz w:val="24"/>
        </w:rPr>
        <w:t>: Indique el grupo o grupos estudiantil(es) que será(n) los beneficiarios principales de la acción al ingresar “Todo” o al ingresar un grupo o grupos estudiantil(es)</w:t>
      </w:r>
      <w:r>
        <w:rPr>
          <w:spacing w:val="-6"/>
          <w:sz w:val="24"/>
        </w:rPr>
        <w:t> </w:t>
      </w:r>
      <w:r>
        <w:rPr>
          <w:sz w:val="24"/>
        </w:rPr>
        <w:t>específico(s).</w:t>
      </w:r>
    </w:p>
    <w:p>
      <w:pPr>
        <w:pStyle w:val="BodyText"/>
        <w:spacing w:before="8"/>
        <w:rPr>
          <w:sz w:val="20"/>
        </w:rPr>
      </w:pPr>
    </w:p>
    <w:p>
      <w:pPr>
        <w:pStyle w:val="ListParagraph"/>
        <w:numPr>
          <w:ilvl w:val="2"/>
          <w:numId w:val="2"/>
        </w:numPr>
        <w:tabs>
          <w:tab w:pos="959" w:val="left" w:leader="none"/>
          <w:tab w:pos="960" w:val="left" w:leader="none"/>
        </w:tabs>
        <w:spacing w:line="240" w:lineRule="auto" w:before="0" w:after="0"/>
        <w:ind w:left="960" w:right="444" w:hanging="360"/>
        <w:jc w:val="left"/>
        <w:rPr>
          <w:rFonts w:ascii="Symbol" w:hAnsi="Symbol"/>
          <w:sz w:val="24"/>
        </w:rPr>
      </w:pPr>
      <w:r>
        <w:rPr>
          <w:b/>
          <w:sz w:val="24"/>
        </w:rPr>
        <w:t>Aumentó / Mejoró</w:t>
      </w:r>
      <w:r>
        <w:rPr>
          <w:sz w:val="24"/>
        </w:rPr>
        <w:t>: Ponga “Sí” si la acción </w:t>
      </w:r>
      <w:r>
        <w:rPr>
          <w:b/>
          <w:sz w:val="24"/>
        </w:rPr>
        <w:t>es </w:t>
      </w:r>
      <w:r>
        <w:rPr>
          <w:sz w:val="24"/>
        </w:rPr>
        <w:t>incluida como contribuyendo a cumpliendo el aumento o mejoramiento de servicios; O, ponga “No” si la acción </w:t>
      </w:r>
      <w:r>
        <w:rPr>
          <w:b/>
          <w:sz w:val="24"/>
        </w:rPr>
        <w:t>no </w:t>
      </w:r>
      <w:r>
        <w:rPr>
          <w:sz w:val="24"/>
        </w:rPr>
        <w:t>es incluida como contribuyendo a cumpliendo el aumento o mejoramiento de</w:t>
      </w:r>
      <w:r>
        <w:rPr>
          <w:spacing w:val="-15"/>
          <w:sz w:val="24"/>
        </w:rPr>
        <w:t> </w:t>
      </w:r>
      <w:r>
        <w:rPr>
          <w:sz w:val="24"/>
        </w:rPr>
        <w:t>servicios.</w:t>
      </w:r>
    </w:p>
    <w:p>
      <w:pPr>
        <w:pStyle w:val="BodyText"/>
        <w:spacing w:before="8"/>
        <w:rPr>
          <w:sz w:val="20"/>
        </w:rPr>
      </w:pPr>
    </w:p>
    <w:p>
      <w:pPr>
        <w:pStyle w:val="ListParagraph"/>
        <w:numPr>
          <w:ilvl w:val="2"/>
          <w:numId w:val="2"/>
        </w:numPr>
        <w:tabs>
          <w:tab w:pos="959" w:val="left" w:leader="none"/>
          <w:tab w:pos="960" w:val="left" w:leader="none"/>
        </w:tabs>
        <w:spacing w:line="240" w:lineRule="auto" w:before="1" w:after="0"/>
        <w:ind w:left="960" w:right="0" w:hanging="360"/>
        <w:jc w:val="left"/>
        <w:rPr>
          <w:rFonts w:ascii="Symbol" w:hAnsi="Symbol"/>
          <w:sz w:val="24"/>
        </w:rPr>
      </w:pPr>
      <w:r>
        <w:rPr>
          <w:sz w:val="24"/>
        </w:rPr>
        <w:t>Si se incluye “Sí” en la columna Contribuyendo, entonces complete las siguientes</w:t>
      </w:r>
      <w:r>
        <w:rPr>
          <w:spacing w:val="-9"/>
          <w:sz w:val="24"/>
        </w:rPr>
        <w:t> </w:t>
      </w:r>
      <w:r>
        <w:rPr>
          <w:sz w:val="24"/>
        </w:rPr>
        <w:t>columnas:</w:t>
      </w:r>
    </w:p>
    <w:p>
      <w:pPr>
        <w:pStyle w:val="ListParagraph"/>
        <w:numPr>
          <w:ilvl w:val="3"/>
          <w:numId w:val="2"/>
        </w:numPr>
        <w:tabs>
          <w:tab w:pos="1680" w:val="left" w:leader="none"/>
        </w:tabs>
        <w:spacing w:line="235" w:lineRule="auto" w:before="242" w:after="0"/>
        <w:ind w:left="1680" w:right="256" w:hanging="360"/>
        <w:jc w:val="left"/>
        <w:rPr>
          <w:rFonts w:ascii="Courier New" w:hAnsi="Courier New"/>
          <w:sz w:val="24"/>
        </w:rPr>
      </w:pPr>
      <w:r>
        <w:rPr>
          <w:b/>
          <w:sz w:val="24"/>
        </w:rPr>
        <w:t>Nivel</w:t>
      </w:r>
      <w:r>
        <w:rPr>
          <w:sz w:val="24"/>
        </w:rPr>
        <w:t>: El nivel de una acción puede ser a nivel del LEA (es decir, a nivel del distrito, condado o semiautónomo), a nivel escolar o limitado. Una acción que es a nivel del LEA en su alcance actualiza el programa educativo entero del LEA. Una acción que es a nivel escolar en su alcance actualizar el programa educativo entero de una escuela particular. Una acción que es limitada en su alcance es una acción que solo brinda servicio a uno o más de los grupos estudiantiles sin</w:t>
      </w:r>
      <w:r>
        <w:rPr>
          <w:spacing w:val="-18"/>
          <w:sz w:val="24"/>
        </w:rPr>
        <w:t> </w:t>
      </w:r>
      <w:r>
        <w:rPr>
          <w:sz w:val="24"/>
        </w:rPr>
        <w:t>duplicación.</w:t>
      </w:r>
    </w:p>
    <w:p>
      <w:pPr>
        <w:pStyle w:val="BodyText"/>
        <w:spacing w:before="3"/>
        <w:rPr>
          <w:sz w:val="21"/>
        </w:rPr>
      </w:pPr>
    </w:p>
    <w:p>
      <w:pPr>
        <w:pStyle w:val="ListParagraph"/>
        <w:numPr>
          <w:ilvl w:val="3"/>
          <w:numId w:val="2"/>
        </w:numPr>
        <w:tabs>
          <w:tab w:pos="1680" w:val="left" w:leader="none"/>
        </w:tabs>
        <w:spacing w:line="230" w:lineRule="auto" w:before="0" w:after="0"/>
        <w:ind w:left="1680" w:right="566" w:hanging="360"/>
        <w:jc w:val="both"/>
        <w:rPr>
          <w:rFonts w:ascii="Courier New" w:hAnsi="Courier New"/>
          <w:sz w:val="24"/>
        </w:rPr>
      </w:pPr>
      <w:r>
        <w:rPr>
          <w:b/>
          <w:sz w:val="24"/>
        </w:rPr>
        <w:t>Grupo(s) Estudiantil(es) Sin Duplicación</w:t>
      </w:r>
      <w:r>
        <w:rPr>
          <w:sz w:val="24"/>
        </w:rPr>
        <w:t>: Sin importar el alcance, acciones contribuyentes brindan servicio a uno o más de los grupos estudiantiles sin duplicación. Indique uno o más grupos estudiantiles sin duplicación para quien los servicios están siendo aumentados o mejorados en comparación a lo que todos los alumnos</w:t>
      </w:r>
      <w:r>
        <w:rPr>
          <w:spacing w:val="-9"/>
          <w:sz w:val="24"/>
        </w:rPr>
        <w:t> </w:t>
      </w:r>
      <w:r>
        <w:rPr>
          <w:sz w:val="24"/>
        </w:rPr>
        <w:t>reciben.</w:t>
      </w:r>
    </w:p>
    <w:p>
      <w:pPr>
        <w:pStyle w:val="BodyText"/>
        <w:spacing w:before="6"/>
        <w:rPr>
          <w:sz w:val="21"/>
        </w:rPr>
      </w:pPr>
    </w:p>
    <w:p>
      <w:pPr>
        <w:pStyle w:val="ListParagraph"/>
        <w:numPr>
          <w:ilvl w:val="3"/>
          <w:numId w:val="2"/>
        </w:numPr>
        <w:tabs>
          <w:tab w:pos="1680" w:val="left" w:leader="none"/>
        </w:tabs>
        <w:spacing w:line="235" w:lineRule="auto" w:before="1" w:after="0"/>
        <w:ind w:left="1680" w:right="390" w:hanging="360"/>
        <w:jc w:val="left"/>
        <w:rPr>
          <w:rFonts w:ascii="Courier New" w:hAnsi="Courier New"/>
          <w:sz w:val="24"/>
        </w:rPr>
      </w:pPr>
      <w:r>
        <w:rPr>
          <w:b/>
          <w:sz w:val="24"/>
        </w:rPr>
        <w:t>Ubicación</w:t>
      </w:r>
      <w:r>
        <w:rPr>
          <w:sz w:val="24"/>
        </w:rPr>
        <w:t>: Identifique la ubicación donde la acción será proporcionada. Si la acción es proporcionada a todas las escuelas dentro del LEA, el LEA debe indicar “Todas las Escuelas”. Si la acción es proporcionada a escuelas específicas dentro del LEA o solo a niveles de grados específicos, el LEA debe ingresar “Escuelas Específicas” o “Niveles de Grados Específicos”. Identifique la escuela particular o un grupo de escuelas o niveles de grado (p. ej., todas las escuelas preparatorias o kínder-5° grado), según</w:t>
      </w:r>
      <w:r>
        <w:rPr>
          <w:spacing w:val="-2"/>
          <w:sz w:val="24"/>
        </w:rPr>
        <w:t> </w:t>
      </w:r>
      <w:r>
        <w:rPr>
          <w:sz w:val="24"/>
        </w:rPr>
        <w:t>corresponda.</w:t>
      </w:r>
    </w:p>
    <w:p>
      <w:pPr>
        <w:pStyle w:val="BodyText"/>
        <w:rPr>
          <w:sz w:val="21"/>
        </w:rPr>
      </w:pPr>
    </w:p>
    <w:p>
      <w:pPr>
        <w:pStyle w:val="ListParagraph"/>
        <w:numPr>
          <w:ilvl w:val="2"/>
          <w:numId w:val="2"/>
        </w:numPr>
        <w:tabs>
          <w:tab w:pos="959" w:val="left" w:leader="none"/>
          <w:tab w:pos="960" w:val="left" w:leader="none"/>
        </w:tabs>
        <w:spacing w:line="240" w:lineRule="auto" w:before="0" w:after="0"/>
        <w:ind w:left="960" w:right="430" w:hanging="360"/>
        <w:jc w:val="left"/>
        <w:rPr>
          <w:rFonts w:ascii="Symbol" w:hAnsi="Symbol"/>
          <w:sz w:val="24"/>
        </w:rPr>
      </w:pPr>
      <w:r>
        <w:rPr>
          <w:b/>
          <w:sz w:val="24"/>
        </w:rPr>
        <w:t>Duración</w:t>
      </w:r>
      <w:r>
        <w:rPr>
          <w:sz w:val="24"/>
        </w:rPr>
        <w:t>: Ingrese “en curso” si la acción será implementada por un periodo de tiempo indeterminado. De otra forma, indique el plazo por cual la acción será implementada. Por ejemplo, un LEA puede ingresar “1 Año” o “2 Años” o “6</w:t>
      </w:r>
      <w:r>
        <w:rPr>
          <w:spacing w:val="-12"/>
          <w:sz w:val="24"/>
        </w:rPr>
        <w:t> </w:t>
      </w:r>
      <w:r>
        <w:rPr>
          <w:sz w:val="24"/>
        </w:rPr>
        <w:t>Meses.”</w:t>
      </w:r>
    </w:p>
    <w:p>
      <w:pPr>
        <w:spacing w:after="0" w:line="240" w:lineRule="auto"/>
        <w:jc w:val="left"/>
        <w:rPr>
          <w:rFonts w:ascii="Symbol" w:hAnsi="Symbol"/>
          <w:sz w:val="24"/>
        </w:rPr>
        <w:sectPr>
          <w:pgSz w:w="15840" w:h="12240" w:orient="landscape"/>
          <w:pgMar w:header="0" w:footer="284" w:top="560" w:bottom="560" w:left="120" w:right="120"/>
        </w:sectPr>
      </w:pPr>
    </w:p>
    <w:p>
      <w:pPr>
        <w:pStyle w:val="ListParagraph"/>
        <w:numPr>
          <w:ilvl w:val="2"/>
          <w:numId w:val="2"/>
        </w:numPr>
        <w:tabs>
          <w:tab w:pos="959" w:val="left" w:leader="none"/>
          <w:tab w:pos="960" w:val="left" w:leader="none"/>
        </w:tabs>
        <w:spacing w:line="240" w:lineRule="auto" w:before="76" w:after="0"/>
        <w:ind w:left="960" w:right="1217" w:hanging="360"/>
        <w:jc w:val="left"/>
        <w:rPr>
          <w:rFonts w:ascii="Symbol" w:hAnsi="Symbol"/>
          <w:sz w:val="24"/>
        </w:rPr>
      </w:pPr>
      <w:r>
        <w:rPr>
          <w:b/>
          <w:sz w:val="24"/>
        </w:rPr>
        <w:t>Gasto de Personal</w:t>
      </w:r>
      <w:r>
        <w:rPr>
          <w:sz w:val="24"/>
        </w:rPr>
        <w:t>: Esta columna será automáticamente calculada basado en la información proporcionada en las siguientes columnas:</w:t>
      </w:r>
    </w:p>
    <w:p>
      <w:pPr>
        <w:pStyle w:val="BodyText"/>
        <w:spacing w:before="8"/>
        <w:rPr>
          <w:sz w:val="20"/>
        </w:rPr>
      </w:pPr>
    </w:p>
    <w:p>
      <w:pPr>
        <w:pStyle w:val="ListParagraph"/>
        <w:numPr>
          <w:ilvl w:val="3"/>
          <w:numId w:val="2"/>
        </w:numPr>
        <w:tabs>
          <w:tab w:pos="1680" w:val="left" w:leader="none"/>
        </w:tabs>
        <w:spacing w:line="240" w:lineRule="auto" w:before="0" w:after="0"/>
        <w:ind w:left="1680" w:right="0" w:hanging="360"/>
        <w:jc w:val="left"/>
        <w:rPr>
          <w:rFonts w:ascii="Courier New" w:hAnsi="Courier New"/>
          <w:sz w:val="24"/>
        </w:rPr>
      </w:pPr>
      <w:r>
        <w:rPr>
          <w:b/>
          <w:sz w:val="24"/>
        </w:rPr>
        <w:t>Total de Personal</w:t>
      </w:r>
      <w:r>
        <w:rPr>
          <w:sz w:val="24"/>
        </w:rPr>
        <w:t>: Ingrese la cantidad total de gastos del personal utilizados para implementar esta</w:t>
      </w:r>
      <w:r>
        <w:rPr>
          <w:spacing w:val="-18"/>
          <w:sz w:val="24"/>
        </w:rPr>
        <w:t> </w:t>
      </w:r>
      <w:r>
        <w:rPr>
          <w:sz w:val="24"/>
        </w:rPr>
        <w:t>acción.</w:t>
      </w:r>
    </w:p>
    <w:p>
      <w:pPr>
        <w:pStyle w:val="ListParagraph"/>
        <w:numPr>
          <w:ilvl w:val="3"/>
          <w:numId w:val="2"/>
        </w:numPr>
        <w:tabs>
          <w:tab w:pos="1680" w:val="left" w:leader="none"/>
        </w:tabs>
        <w:spacing w:line="240" w:lineRule="auto" w:before="219" w:after="0"/>
        <w:ind w:left="1680" w:right="0" w:hanging="360"/>
        <w:jc w:val="left"/>
        <w:rPr>
          <w:rFonts w:ascii="Courier New" w:hAnsi="Courier New"/>
          <w:sz w:val="24"/>
        </w:rPr>
      </w:pPr>
      <w:r>
        <w:rPr>
          <w:b/>
          <w:sz w:val="24"/>
        </w:rPr>
        <w:t>Total de No Personal</w:t>
      </w:r>
      <w:r>
        <w:rPr>
          <w:sz w:val="24"/>
        </w:rPr>
        <w:t>: Esta cantidad será automáticamente</w:t>
      </w:r>
      <w:r>
        <w:rPr>
          <w:spacing w:val="-5"/>
          <w:sz w:val="24"/>
        </w:rPr>
        <w:t> </w:t>
      </w:r>
      <w:r>
        <w:rPr>
          <w:sz w:val="24"/>
        </w:rPr>
        <w:t>calculada.</w:t>
      </w:r>
    </w:p>
    <w:p>
      <w:pPr>
        <w:pStyle w:val="ListParagraph"/>
        <w:numPr>
          <w:ilvl w:val="2"/>
          <w:numId w:val="2"/>
        </w:numPr>
        <w:tabs>
          <w:tab w:pos="959" w:val="left" w:leader="none"/>
          <w:tab w:pos="960" w:val="left" w:leader="none"/>
        </w:tabs>
        <w:spacing w:line="240" w:lineRule="auto" w:before="218" w:after="0"/>
        <w:ind w:left="960" w:right="376" w:hanging="360"/>
        <w:jc w:val="left"/>
        <w:rPr>
          <w:rFonts w:ascii="Symbol" w:hAnsi="Symbol"/>
          <w:sz w:val="24"/>
        </w:rPr>
      </w:pPr>
      <w:r>
        <w:rPr>
          <w:b/>
          <w:sz w:val="24"/>
        </w:rPr>
        <w:t>Fondos LCFF</w:t>
      </w:r>
      <w:r>
        <w:rPr>
          <w:sz w:val="24"/>
        </w:rPr>
        <w:t>: Ingrese la cantidad total de fondos LCFF utilizados para implementar esta acción, si alguno. Fondos LCFF incluyen todos los fondos que acaparan la meta LCFF total de un LEA (es decir, subvención base, ajuste en nivel de grados, subvención suplementaria, subvención de concentración, Subvención en Bloque de Mejora Instructiva Objetiva y Transporte de Hogar a</w:t>
      </w:r>
      <w:r>
        <w:rPr>
          <w:spacing w:val="-17"/>
          <w:sz w:val="24"/>
        </w:rPr>
        <w:t> </w:t>
      </w:r>
      <w:r>
        <w:rPr>
          <w:sz w:val="24"/>
        </w:rPr>
        <w:t>Escuela).</w:t>
      </w:r>
    </w:p>
    <w:p>
      <w:pPr>
        <w:pStyle w:val="BodyText"/>
        <w:spacing w:before="8"/>
        <w:rPr>
          <w:sz w:val="20"/>
        </w:rPr>
      </w:pPr>
    </w:p>
    <w:p>
      <w:pPr>
        <w:pStyle w:val="ListParagraph"/>
        <w:numPr>
          <w:ilvl w:val="2"/>
          <w:numId w:val="2"/>
        </w:numPr>
        <w:tabs>
          <w:tab w:pos="959" w:val="left" w:leader="none"/>
          <w:tab w:pos="960" w:val="left" w:leader="none"/>
        </w:tabs>
        <w:spacing w:line="240" w:lineRule="auto" w:before="1" w:after="0"/>
        <w:ind w:left="960" w:right="0" w:hanging="360"/>
        <w:jc w:val="left"/>
        <w:rPr>
          <w:rFonts w:ascii="Symbol" w:hAnsi="Symbol"/>
          <w:sz w:val="24"/>
        </w:rPr>
      </w:pPr>
      <w:r>
        <w:rPr>
          <w:b/>
          <w:sz w:val="24"/>
        </w:rPr>
        <w:t>Otros Fondos Estatales</w:t>
      </w:r>
      <w:r>
        <w:rPr>
          <w:sz w:val="24"/>
        </w:rPr>
        <w:t>: Ingrese la cantidad total de Otros Fondos Estatales utilizados para implementar esta acción, si</w:t>
      </w:r>
      <w:r>
        <w:rPr>
          <w:spacing w:val="-27"/>
          <w:sz w:val="24"/>
        </w:rPr>
        <w:t> </w:t>
      </w:r>
      <w:r>
        <w:rPr>
          <w:sz w:val="24"/>
        </w:rPr>
        <w:t>alguna.</w:t>
      </w:r>
    </w:p>
    <w:p>
      <w:pPr>
        <w:pStyle w:val="ListParagraph"/>
        <w:numPr>
          <w:ilvl w:val="2"/>
          <w:numId w:val="2"/>
        </w:numPr>
        <w:tabs>
          <w:tab w:pos="959" w:val="left" w:leader="none"/>
          <w:tab w:pos="960" w:val="left" w:leader="none"/>
        </w:tabs>
        <w:spacing w:line="240" w:lineRule="auto" w:before="238" w:after="0"/>
        <w:ind w:left="960" w:right="0" w:hanging="360"/>
        <w:jc w:val="left"/>
        <w:rPr>
          <w:rFonts w:ascii="Symbol" w:hAnsi="Symbol"/>
          <w:sz w:val="24"/>
        </w:rPr>
      </w:pPr>
      <w:r>
        <w:rPr>
          <w:b/>
          <w:sz w:val="24"/>
        </w:rPr>
        <w:t>Fondos Locales</w:t>
      </w:r>
      <w:r>
        <w:rPr>
          <w:sz w:val="24"/>
        </w:rPr>
        <w:t>: Ingrese la cantidad total de Fondos Locales utilizados para implementar esta acción, si</w:t>
      </w:r>
      <w:r>
        <w:rPr>
          <w:spacing w:val="-18"/>
          <w:sz w:val="24"/>
        </w:rPr>
        <w:t> </w:t>
      </w:r>
      <w:r>
        <w:rPr>
          <w:sz w:val="24"/>
        </w:rPr>
        <w:t>alguna.</w:t>
      </w:r>
    </w:p>
    <w:p>
      <w:pPr>
        <w:pStyle w:val="ListParagraph"/>
        <w:numPr>
          <w:ilvl w:val="2"/>
          <w:numId w:val="2"/>
        </w:numPr>
        <w:tabs>
          <w:tab w:pos="959" w:val="left" w:leader="none"/>
          <w:tab w:pos="960" w:val="left" w:leader="none"/>
        </w:tabs>
        <w:spacing w:line="240" w:lineRule="auto" w:before="238" w:after="0"/>
        <w:ind w:left="960" w:right="0" w:hanging="360"/>
        <w:jc w:val="left"/>
        <w:rPr>
          <w:rFonts w:ascii="Symbol" w:hAnsi="Symbol"/>
          <w:sz w:val="24"/>
        </w:rPr>
      </w:pPr>
      <w:r>
        <w:rPr>
          <w:b/>
          <w:sz w:val="24"/>
        </w:rPr>
        <w:t>Fondos Federales</w:t>
      </w:r>
      <w:r>
        <w:rPr>
          <w:sz w:val="24"/>
        </w:rPr>
        <w:t>: Ingrese la cantidad total de Fondos Federales utilizados para implementar esta acción, si</w:t>
      </w:r>
      <w:r>
        <w:rPr>
          <w:spacing w:val="-18"/>
          <w:sz w:val="24"/>
        </w:rPr>
        <w:t> </w:t>
      </w:r>
      <w:r>
        <w:rPr>
          <w:sz w:val="24"/>
        </w:rPr>
        <w:t>alguna.</w:t>
      </w:r>
    </w:p>
    <w:p>
      <w:pPr>
        <w:pStyle w:val="ListParagraph"/>
        <w:numPr>
          <w:ilvl w:val="2"/>
          <w:numId w:val="2"/>
        </w:numPr>
        <w:tabs>
          <w:tab w:pos="959" w:val="left" w:leader="none"/>
          <w:tab w:pos="960" w:val="left" w:leader="none"/>
        </w:tabs>
        <w:spacing w:line="240" w:lineRule="auto" w:before="238" w:after="0"/>
        <w:ind w:left="960" w:right="0" w:hanging="360"/>
        <w:jc w:val="left"/>
        <w:rPr>
          <w:rFonts w:ascii="Symbol" w:hAnsi="Symbol"/>
          <w:sz w:val="24"/>
        </w:rPr>
      </w:pPr>
      <w:r>
        <w:rPr>
          <w:b/>
          <w:sz w:val="24"/>
        </w:rPr>
        <w:t>Total de Fondos</w:t>
      </w:r>
      <w:r>
        <w:rPr>
          <w:sz w:val="24"/>
        </w:rPr>
        <w:t>: Esta cantidad es automáticamente calculada basado en las cantidades ingresadas en las previas cuatro</w:t>
      </w:r>
      <w:r>
        <w:rPr>
          <w:spacing w:val="-35"/>
          <w:sz w:val="24"/>
        </w:rPr>
        <w:t> </w:t>
      </w:r>
      <w:r>
        <w:rPr>
          <w:sz w:val="24"/>
        </w:rPr>
        <w:t>columnas.</w:t>
      </w:r>
    </w:p>
    <w:sectPr>
      <w:pgSz w:w="15840" w:h="12240" w:orient="landscape"/>
      <w:pgMar w:header="0" w:footer="284" w:top="560" w:bottom="560" w:left="120" w:right="1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Symbol">
    <w:altName w:val="Symbol"/>
    <w:charset w:val="2"/>
    <w:family w:val="roman"/>
    <w:pitch w:val="variable"/>
  </w:font>
  <w:font w:name="Arial">
    <w:altName w:val="Arial"/>
    <w:charset w:val="0"/>
    <w:family w:val="swiss"/>
    <w:pitch w:val="variable"/>
  </w:font>
  <w:font w:name="Calibri">
    <w:altName w:val="Calibri"/>
    <w:charset w:val="0"/>
    <w:family w:val="swiss"/>
    <w:pitch w:val="variable"/>
  </w:font>
  <w:font w:name="Courier New">
    <w:altName w:val="Courier New"/>
    <w:charset w:val="0"/>
    <w:family w:val="modern"/>
    <w:pitch w:val="fixed"/>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12"/>
      </w:rPr>
    </w:pPr>
    <w:r>
      <w:rPr/>
      <w:pict>
        <v:shapetype id="_x0000_t202" o:spt="202" coordsize="21600,21600" path="m,l,21600r21600,l21600,xe">
          <v:stroke joinstyle="miter"/>
          <v:path gradientshapeok="t" o:connecttype="rect"/>
        </v:shapetype>
        <v:shape style="position:absolute;margin-left:17pt;margin-top:582.814026pt;width:418.7pt;height:12pt;mso-position-horizontal-relative:page;mso-position-vertical-relative:page;z-index:-256698368" type="#_x0000_t202" filled="false" stroked="false">
          <v:textbox inset="0,0,0,0">
            <w:txbxContent>
              <w:p>
                <w:pPr>
                  <w:spacing w:line="224" w:lineRule="exact" w:before="0"/>
                  <w:ind w:left="20" w:right="0" w:firstLine="0"/>
                  <w:jc w:val="left"/>
                  <w:rPr>
                    <w:rFonts w:ascii="Calibri"/>
                    <w:sz w:val="20"/>
                  </w:rPr>
                </w:pPr>
                <w:r>
                  <w:rPr>
                    <w:rFonts w:ascii="Calibri"/>
                    <w:sz w:val="20"/>
                  </w:rPr>
                  <w:t>Plan de Contabilidad y Control Local para 2021-22 para el Distrito Escolar Primario de Winship-Robbins</w:t>
                </w:r>
              </w:p>
            </w:txbxContent>
          </v:textbox>
          <w10:wrap type="none"/>
        </v:shape>
      </w:pict>
    </w:r>
    <w:r>
      <w:rPr/>
      <w:pict>
        <v:shape style="position:absolute;margin-left:708.704041pt;margin-top:582.814026pt;width:66.3pt;height:12pt;mso-position-horizontal-relative:page;mso-position-vertical-relative:page;z-index:-256697344" type="#_x0000_t202" filled="false" stroked="false">
          <v:textbox inset="0,0,0,0">
            <w:txbxContent>
              <w:p>
                <w:pPr>
                  <w:spacing w:line="224" w:lineRule="exact" w:before="0"/>
                  <w:ind w:left="20" w:right="0" w:firstLine="0"/>
                  <w:jc w:val="left"/>
                  <w:rPr>
                    <w:rFonts w:ascii="Calibri" w:hAnsi="Calibri"/>
                    <w:sz w:val="20"/>
                  </w:rPr>
                </w:pPr>
                <w:r>
                  <w:rPr>
                    <w:rFonts w:ascii="Calibri" w:hAnsi="Calibri"/>
                    <w:sz w:val="20"/>
                  </w:rPr>
                  <w:t>Página </w:t>
                </w:r>
                <w:r>
                  <w:rPr/>
                  <w:fldChar w:fldCharType="begin"/>
                </w:r>
                <w:r>
                  <w:rPr>
                    <w:rFonts w:ascii="Calibri" w:hAnsi="Calibri"/>
                    <w:sz w:val="20"/>
                  </w:rPr>
                  <w:instrText> PAGE </w:instrText>
                </w:r>
                <w:r>
                  <w:rPr/>
                  <w:fldChar w:fldCharType="separate"/>
                </w:r>
                <w:r>
                  <w:rPr/>
                  <w:t>11</w:t>
                </w:r>
                <w:r>
                  <w:rPr/>
                  <w:fldChar w:fldCharType="end"/>
                </w:r>
                <w:r>
                  <w:rPr>
                    <w:rFonts w:ascii="Calibri" w:hAnsi="Calibri"/>
                    <w:sz w:val="20"/>
                  </w:rPr>
                  <w:t> de 50</w:t>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multiLevelType w:val="hybridMultilevel"/>
    <w:lvl w:ilvl="0">
      <w:start w:val="0"/>
      <w:numFmt w:val="bullet"/>
      <w:lvlText w:val="●"/>
      <w:lvlJc w:val="left"/>
      <w:pPr>
        <w:ind w:left="960" w:hanging="360"/>
      </w:pPr>
      <w:rPr>
        <w:rFonts w:hint="default" w:ascii="Arial" w:hAnsi="Arial" w:eastAsia="Arial" w:cs="Arial"/>
        <w:spacing w:val="-1"/>
        <w:w w:val="100"/>
        <w:sz w:val="24"/>
        <w:szCs w:val="24"/>
        <w:lang w:val="en-us" w:eastAsia="en-us" w:bidi="en-us"/>
      </w:rPr>
    </w:lvl>
    <w:lvl w:ilvl="1">
      <w:start w:val="0"/>
      <w:numFmt w:val="bullet"/>
      <w:lvlText w:val="•"/>
      <w:lvlJc w:val="left"/>
      <w:pPr>
        <w:ind w:left="2424" w:hanging="360"/>
      </w:pPr>
      <w:rPr>
        <w:rFonts w:hint="default"/>
        <w:lang w:val="en-us" w:eastAsia="en-us" w:bidi="en-us"/>
      </w:rPr>
    </w:lvl>
    <w:lvl w:ilvl="2">
      <w:start w:val="0"/>
      <w:numFmt w:val="bullet"/>
      <w:lvlText w:val="•"/>
      <w:lvlJc w:val="left"/>
      <w:pPr>
        <w:ind w:left="3888" w:hanging="360"/>
      </w:pPr>
      <w:rPr>
        <w:rFonts w:hint="default"/>
        <w:lang w:val="en-us" w:eastAsia="en-us" w:bidi="en-us"/>
      </w:rPr>
    </w:lvl>
    <w:lvl w:ilvl="3">
      <w:start w:val="0"/>
      <w:numFmt w:val="bullet"/>
      <w:lvlText w:val="•"/>
      <w:lvlJc w:val="left"/>
      <w:pPr>
        <w:ind w:left="5352" w:hanging="360"/>
      </w:pPr>
      <w:rPr>
        <w:rFonts w:hint="default"/>
        <w:lang w:val="en-us" w:eastAsia="en-us" w:bidi="en-us"/>
      </w:rPr>
    </w:lvl>
    <w:lvl w:ilvl="4">
      <w:start w:val="0"/>
      <w:numFmt w:val="bullet"/>
      <w:lvlText w:val="•"/>
      <w:lvlJc w:val="left"/>
      <w:pPr>
        <w:ind w:left="6816" w:hanging="360"/>
      </w:pPr>
      <w:rPr>
        <w:rFonts w:hint="default"/>
        <w:lang w:val="en-us" w:eastAsia="en-us" w:bidi="en-us"/>
      </w:rPr>
    </w:lvl>
    <w:lvl w:ilvl="5">
      <w:start w:val="0"/>
      <w:numFmt w:val="bullet"/>
      <w:lvlText w:val="•"/>
      <w:lvlJc w:val="left"/>
      <w:pPr>
        <w:ind w:left="8280" w:hanging="360"/>
      </w:pPr>
      <w:rPr>
        <w:rFonts w:hint="default"/>
        <w:lang w:val="en-us" w:eastAsia="en-us" w:bidi="en-us"/>
      </w:rPr>
    </w:lvl>
    <w:lvl w:ilvl="6">
      <w:start w:val="0"/>
      <w:numFmt w:val="bullet"/>
      <w:lvlText w:val="•"/>
      <w:lvlJc w:val="left"/>
      <w:pPr>
        <w:ind w:left="9744" w:hanging="360"/>
      </w:pPr>
      <w:rPr>
        <w:rFonts w:hint="default"/>
        <w:lang w:val="en-us" w:eastAsia="en-us" w:bidi="en-us"/>
      </w:rPr>
    </w:lvl>
    <w:lvl w:ilvl="7">
      <w:start w:val="0"/>
      <w:numFmt w:val="bullet"/>
      <w:lvlText w:val="•"/>
      <w:lvlJc w:val="left"/>
      <w:pPr>
        <w:ind w:left="11208" w:hanging="360"/>
      </w:pPr>
      <w:rPr>
        <w:rFonts w:hint="default"/>
        <w:lang w:val="en-us" w:eastAsia="en-us" w:bidi="en-us"/>
      </w:rPr>
    </w:lvl>
    <w:lvl w:ilvl="8">
      <w:start w:val="0"/>
      <w:numFmt w:val="bullet"/>
      <w:lvlText w:val="•"/>
      <w:lvlJc w:val="left"/>
      <w:pPr>
        <w:ind w:left="12672" w:hanging="360"/>
      </w:pPr>
      <w:rPr>
        <w:rFonts w:hint="default"/>
        <w:lang w:val="en-us" w:eastAsia="en-us" w:bidi="en-us"/>
      </w:rPr>
    </w:lvl>
  </w:abstractNum>
  <w:abstractNum w:abstractNumId="3">
    <w:multiLevelType w:val="hybridMultilevel"/>
    <w:lvl w:ilvl="0">
      <w:start w:val="1"/>
      <w:numFmt w:val="lowerLetter"/>
      <w:lvlText w:val="%1)"/>
      <w:lvlJc w:val="left"/>
      <w:pPr>
        <w:ind w:left="1680" w:hanging="360"/>
        <w:jc w:val="left"/>
      </w:pPr>
      <w:rPr>
        <w:rFonts w:hint="default" w:ascii="Arial" w:hAnsi="Arial" w:eastAsia="Arial" w:cs="Arial"/>
        <w:spacing w:val="-1"/>
        <w:w w:val="100"/>
        <w:sz w:val="24"/>
        <w:szCs w:val="24"/>
        <w:lang w:val="en-us" w:eastAsia="en-us" w:bidi="en-us"/>
      </w:rPr>
    </w:lvl>
    <w:lvl w:ilvl="1">
      <w:start w:val="0"/>
      <w:numFmt w:val="bullet"/>
      <w:lvlText w:val="•"/>
      <w:lvlJc w:val="left"/>
      <w:pPr>
        <w:ind w:left="3072" w:hanging="360"/>
      </w:pPr>
      <w:rPr>
        <w:rFonts w:hint="default"/>
        <w:lang w:val="en-us" w:eastAsia="en-us" w:bidi="en-us"/>
      </w:rPr>
    </w:lvl>
    <w:lvl w:ilvl="2">
      <w:start w:val="0"/>
      <w:numFmt w:val="bullet"/>
      <w:lvlText w:val="•"/>
      <w:lvlJc w:val="left"/>
      <w:pPr>
        <w:ind w:left="4464" w:hanging="360"/>
      </w:pPr>
      <w:rPr>
        <w:rFonts w:hint="default"/>
        <w:lang w:val="en-us" w:eastAsia="en-us" w:bidi="en-us"/>
      </w:rPr>
    </w:lvl>
    <w:lvl w:ilvl="3">
      <w:start w:val="0"/>
      <w:numFmt w:val="bullet"/>
      <w:lvlText w:val="•"/>
      <w:lvlJc w:val="left"/>
      <w:pPr>
        <w:ind w:left="5856" w:hanging="360"/>
      </w:pPr>
      <w:rPr>
        <w:rFonts w:hint="default"/>
        <w:lang w:val="en-us" w:eastAsia="en-us" w:bidi="en-us"/>
      </w:rPr>
    </w:lvl>
    <w:lvl w:ilvl="4">
      <w:start w:val="0"/>
      <w:numFmt w:val="bullet"/>
      <w:lvlText w:val="•"/>
      <w:lvlJc w:val="left"/>
      <w:pPr>
        <w:ind w:left="7248" w:hanging="360"/>
      </w:pPr>
      <w:rPr>
        <w:rFonts w:hint="default"/>
        <w:lang w:val="en-us" w:eastAsia="en-us" w:bidi="en-us"/>
      </w:rPr>
    </w:lvl>
    <w:lvl w:ilvl="5">
      <w:start w:val="0"/>
      <w:numFmt w:val="bullet"/>
      <w:lvlText w:val="•"/>
      <w:lvlJc w:val="left"/>
      <w:pPr>
        <w:ind w:left="8640" w:hanging="360"/>
      </w:pPr>
      <w:rPr>
        <w:rFonts w:hint="default"/>
        <w:lang w:val="en-us" w:eastAsia="en-us" w:bidi="en-us"/>
      </w:rPr>
    </w:lvl>
    <w:lvl w:ilvl="6">
      <w:start w:val="0"/>
      <w:numFmt w:val="bullet"/>
      <w:lvlText w:val="•"/>
      <w:lvlJc w:val="left"/>
      <w:pPr>
        <w:ind w:left="10032" w:hanging="360"/>
      </w:pPr>
      <w:rPr>
        <w:rFonts w:hint="default"/>
        <w:lang w:val="en-us" w:eastAsia="en-us" w:bidi="en-us"/>
      </w:rPr>
    </w:lvl>
    <w:lvl w:ilvl="7">
      <w:start w:val="0"/>
      <w:numFmt w:val="bullet"/>
      <w:lvlText w:val="•"/>
      <w:lvlJc w:val="left"/>
      <w:pPr>
        <w:ind w:left="11424" w:hanging="360"/>
      </w:pPr>
      <w:rPr>
        <w:rFonts w:hint="default"/>
        <w:lang w:val="en-us" w:eastAsia="en-us" w:bidi="en-us"/>
      </w:rPr>
    </w:lvl>
    <w:lvl w:ilvl="8">
      <w:start w:val="0"/>
      <w:numFmt w:val="bullet"/>
      <w:lvlText w:val="•"/>
      <w:lvlJc w:val="left"/>
      <w:pPr>
        <w:ind w:left="12816" w:hanging="360"/>
      </w:pPr>
      <w:rPr>
        <w:rFonts w:hint="default"/>
        <w:lang w:val="en-us" w:eastAsia="en-us" w:bidi="en-us"/>
      </w:rPr>
    </w:lvl>
  </w:abstractNum>
  <w:abstractNum w:abstractNumId="2">
    <w:multiLevelType w:val="hybridMultilevel"/>
    <w:lvl w:ilvl="0">
      <w:start w:val="0"/>
      <w:numFmt w:val="bullet"/>
      <w:lvlText w:val="●"/>
      <w:lvlJc w:val="left"/>
      <w:pPr>
        <w:ind w:left="960" w:hanging="360"/>
      </w:pPr>
      <w:rPr>
        <w:rFonts w:hint="default" w:ascii="Times New Roman" w:hAnsi="Times New Roman" w:eastAsia="Times New Roman" w:cs="Times New Roman"/>
        <w:spacing w:val="-1"/>
        <w:w w:val="100"/>
        <w:sz w:val="24"/>
        <w:szCs w:val="24"/>
        <w:lang w:val="en-us" w:eastAsia="en-us" w:bidi="en-us"/>
      </w:rPr>
    </w:lvl>
    <w:lvl w:ilvl="1">
      <w:start w:val="0"/>
      <w:numFmt w:val="bullet"/>
      <w:lvlText w:val="•"/>
      <w:lvlJc w:val="left"/>
      <w:pPr>
        <w:ind w:left="2424" w:hanging="360"/>
      </w:pPr>
      <w:rPr>
        <w:rFonts w:hint="default"/>
        <w:lang w:val="en-us" w:eastAsia="en-us" w:bidi="en-us"/>
      </w:rPr>
    </w:lvl>
    <w:lvl w:ilvl="2">
      <w:start w:val="0"/>
      <w:numFmt w:val="bullet"/>
      <w:lvlText w:val="•"/>
      <w:lvlJc w:val="left"/>
      <w:pPr>
        <w:ind w:left="3888" w:hanging="360"/>
      </w:pPr>
      <w:rPr>
        <w:rFonts w:hint="default"/>
        <w:lang w:val="en-us" w:eastAsia="en-us" w:bidi="en-us"/>
      </w:rPr>
    </w:lvl>
    <w:lvl w:ilvl="3">
      <w:start w:val="0"/>
      <w:numFmt w:val="bullet"/>
      <w:lvlText w:val="•"/>
      <w:lvlJc w:val="left"/>
      <w:pPr>
        <w:ind w:left="5352" w:hanging="360"/>
      </w:pPr>
      <w:rPr>
        <w:rFonts w:hint="default"/>
        <w:lang w:val="en-us" w:eastAsia="en-us" w:bidi="en-us"/>
      </w:rPr>
    </w:lvl>
    <w:lvl w:ilvl="4">
      <w:start w:val="0"/>
      <w:numFmt w:val="bullet"/>
      <w:lvlText w:val="•"/>
      <w:lvlJc w:val="left"/>
      <w:pPr>
        <w:ind w:left="6816" w:hanging="360"/>
      </w:pPr>
      <w:rPr>
        <w:rFonts w:hint="default"/>
        <w:lang w:val="en-us" w:eastAsia="en-us" w:bidi="en-us"/>
      </w:rPr>
    </w:lvl>
    <w:lvl w:ilvl="5">
      <w:start w:val="0"/>
      <w:numFmt w:val="bullet"/>
      <w:lvlText w:val="•"/>
      <w:lvlJc w:val="left"/>
      <w:pPr>
        <w:ind w:left="8280" w:hanging="360"/>
      </w:pPr>
      <w:rPr>
        <w:rFonts w:hint="default"/>
        <w:lang w:val="en-us" w:eastAsia="en-us" w:bidi="en-us"/>
      </w:rPr>
    </w:lvl>
    <w:lvl w:ilvl="6">
      <w:start w:val="0"/>
      <w:numFmt w:val="bullet"/>
      <w:lvlText w:val="•"/>
      <w:lvlJc w:val="left"/>
      <w:pPr>
        <w:ind w:left="9744" w:hanging="360"/>
      </w:pPr>
      <w:rPr>
        <w:rFonts w:hint="default"/>
        <w:lang w:val="en-us" w:eastAsia="en-us" w:bidi="en-us"/>
      </w:rPr>
    </w:lvl>
    <w:lvl w:ilvl="7">
      <w:start w:val="0"/>
      <w:numFmt w:val="bullet"/>
      <w:lvlText w:val="•"/>
      <w:lvlJc w:val="left"/>
      <w:pPr>
        <w:ind w:left="11208" w:hanging="360"/>
      </w:pPr>
      <w:rPr>
        <w:rFonts w:hint="default"/>
        <w:lang w:val="en-us" w:eastAsia="en-us" w:bidi="en-us"/>
      </w:rPr>
    </w:lvl>
    <w:lvl w:ilvl="8">
      <w:start w:val="0"/>
      <w:numFmt w:val="bullet"/>
      <w:lvlText w:val="•"/>
      <w:lvlJc w:val="left"/>
      <w:pPr>
        <w:ind w:left="12672" w:hanging="360"/>
      </w:pPr>
      <w:rPr>
        <w:rFonts w:hint="default"/>
        <w:lang w:val="en-us" w:eastAsia="en-us" w:bidi="en-us"/>
      </w:rPr>
    </w:lvl>
  </w:abstractNum>
  <w:abstractNum w:abstractNumId="1">
    <w:multiLevelType w:val="hybridMultilevel"/>
    <w:lvl w:ilvl="0">
      <w:start w:val="23"/>
      <w:numFmt w:val="upperLetter"/>
      <w:lvlText w:val="%1"/>
      <w:lvlJc w:val="left"/>
      <w:pPr>
        <w:ind w:left="366" w:hanging="481"/>
        <w:jc w:val="left"/>
      </w:pPr>
      <w:rPr>
        <w:rFonts w:hint="default"/>
        <w:lang w:val="en-us" w:eastAsia="en-us" w:bidi="en-us"/>
      </w:rPr>
    </w:lvl>
    <w:lvl w:ilvl="1">
      <w:start w:val="18"/>
      <w:numFmt w:val="upperLetter"/>
      <w:lvlText w:val="%1-%2"/>
      <w:lvlJc w:val="left"/>
      <w:pPr>
        <w:ind w:left="366" w:hanging="481"/>
        <w:jc w:val="left"/>
      </w:pPr>
      <w:rPr>
        <w:rFonts w:hint="default" w:ascii="Arial" w:hAnsi="Arial" w:eastAsia="Arial" w:cs="Arial"/>
        <w:spacing w:val="-1"/>
        <w:w w:val="100"/>
        <w:sz w:val="22"/>
        <w:szCs w:val="22"/>
        <w:lang w:val="en-us" w:eastAsia="en-us" w:bidi="en-us"/>
      </w:rPr>
    </w:lvl>
    <w:lvl w:ilvl="2">
      <w:start w:val="0"/>
      <w:numFmt w:val="bullet"/>
      <w:lvlText w:val=""/>
      <w:lvlJc w:val="left"/>
      <w:pPr>
        <w:ind w:left="960" w:hanging="360"/>
      </w:pPr>
      <w:rPr>
        <w:rFonts w:hint="default"/>
        <w:w w:val="100"/>
        <w:lang w:val="en-us" w:eastAsia="en-us" w:bidi="en-us"/>
      </w:rPr>
    </w:lvl>
    <w:lvl w:ilvl="3">
      <w:start w:val="0"/>
      <w:numFmt w:val="bullet"/>
      <w:lvlText w:val="o"/>
      <w:lvlJc w:val="left"/>
      <w:pPr>
        <w:ind w:left="1680" w:hanging="360"/>
      </w:pPr>
      <w:rPr>
        <w:rFonts w:hint="default"/>
        <w:w w:val="100"/>
        <w:lang w:val="en-us" w:eastAsia="en-us" w:bidi="en-us"/>
      </w:rPr>
    </w:lvl>
    <w:lvl w:ilvl="4">
      <w:start w:val="0"/>
      <w:numFmt w:val="bullet"/>
      <w:lvlText w:val="•"/>
      <w:lvlJc w:val="left"/>
      <w:pPr>
        <w:ind w:left="5160" w:hanging="360"/>
      </w:pPr>
      <w:rPr>
        <w:rFonts w:hint="default"/>
        <w:lang w:val="en-us" w:eastAsia="en-us" w:bidi="en-us"/>
      </w:rPr>
    </w:lvl>
    <w:lvl w:ilvl="5">
      <w:start w:val="0"/>
      <w:numFmt w:val="bullet"/>
      <w:lvlText w:val="•"/>
      <w:lvlJc w:val="left"/>
      <w:pPr>
        <w:ind w:left="6900" w:hanging="360"/>
      </w:pPr>
      <w:rPr>
        <w:rFonts w:hint="default"/>
        <w:lang w:val="en-us" w:eastAsia="en-us" w:bidi="en-us"/>
      </w:rPr>
    </w:lvl>
    <w:lvl w:ilvl="6">
      <w:start w:val="0"/>
      <w:numFmt w:val="bullet"/>
      <w:lvlText w:val="•"/>
      <w:lvlJc w:val="left"/>
      <w:pPr>
        <w:ind w:left="8640" w:hanging="360"/>
      </w:pPr>
      <w:rPr>
        <w:rFonts w:hint="default"/>
        <w:lang w:val="en-us" w:eastAsia="en-us" w:bidi="en-us"/>
      </w:rPr>
    </w:lvl>
    <w:lvl w:ilvl="7">
      <w:start w:val="0"/>
      <w:numFmt w:val="bullet"/>
      <w:lvlText w:val="•"/>
      <w:lvlJc w:val="left"/>
      <w:pPr>
        <w:ind w:left="10380" w:hanging="360"/>
      </w:pPr>
      <w:rPr>
        <w:rFonts w:hint="default"/>
        <w:lang w:val="en-us" w:eastAsia="en-us" w:bidi="en-us"/>
      </w:rPr>
    </w:lvl>
    <w:lvl w:ilvl="8">
      <w:start w:val="0"/>
      <w:numFmt w:val="bullet"/>
      <w:lvlText w:val="•"/>
      <w:lvlJc w:val="left"/>
      <w:pPr>
        <w:ind w:left="12120" w:hanging="360"/>
      </w:pPr>
      <w:rPr>
        <w:rFonts w:hint="default"/>
        <w:lang w:val="en-us" w:eastAsia="en-us" w:bidi="en-us"/>
      </w:rPr>
    </w:lvl>
  </w:abstractNum>
  <w:abstractNum w:abstractNumId="0">
    <w:multiLevelType w:val="hybridMultilevel"/>
    <w:lvl w:ilvl="0">
      <w:start w:val="16"/>
      <w:numFmt w:val="decimal"/>
      <w:lvlText w:val="%1"/>
      <w:lvlJc w:val="left"/>
      <w:pPr>
        <w:ind w:left="308" w:hanging="334"/>
        <w:jc w:val="left"/>
      </w:pPr>
      <w:rPr>
        <w:rFonts w:hint="default" w:ascii="Arial" w:hAnsi="Arial" w:eastAsia="Arial" w:cs="Arial"/>
        <w:spacing w:val="-1"/>
        <w:w w:val="100"/>
        <w:sz w:val="24"/>
        <w:szCs w:val="24"/>
        <w:lang w:val="en-us" w:eastAsia="en-us" w:bidi="en-us"/>
      </w:rPr>
    </w:lvl>
    <w:lvl w:ilvl="1">
      <w:start w:val="0"/>
      <w:numFmt w:val="bullet"/>
      <w:lvlText w:val="•"/>
      <w:lvlJc w:val="left"/>
      <w:pPr>
        <w:ind w:left="1830" w:hanging="334"/>
      </w:pPr>
      <w:rPr>
        <w:rFonts w:hint="default"/>
        <w:lang w:val="en-us" w:eastAsia="en-us" w:bidi="en-us"/>
      </w:rPr>
    </w:lvl>
    <w:lvl w:ilvl="2">
      <w:start w:val="0"/>
      <w:numFmt w:val="bullet"/>
      <w:lvlText w:val="•"/>
      <w:lvlJc w:val="left"/>
      <w:pPr>
        <w:ind w:left="3360" w:hanging="334"/>
      </w:pPr>
      <w:rPr>
        <w:rFonts w:hint="default"/>
        <w:lang w:val="en-us" w:eastAsia="en-us" w:bidi="en-us"/>
      </w:rPr>
    </w:lvl>
    <w:lvl w:ilvl="3">
      <w:start w:val="0"/>
      <w:numFmt w:val="bullet"/>
      <w:lvlText w:val="•"/>
      <w:lvlJc w:val="left"/>
      <w:pPr>
        <w:ind w:left="4890" w:hanging="334"/>
      </w:pPr>
      <w:rPr>
        <w:rFonts w:hint="default"/>
        <w:lang w:val="en-us" w:eastAsia="en-us" w:bidi="en-us"/>
      </w:rPr>
    </w:lvl>
    <w:lvl w:ilvl="4">
      <w:start w:val="0"/>
      <w:numFmt w:val="bullet"/>
      <w:lvlText w:val="•"/>
      <w:lvlJc w:val="left"/>
      <w:pPr>
        <w:ind w:left="6420" w:hanging="334"/>
      </w:pPr>
      <w:rPr>
        <w:rFonts w:hint="default"/>
        <w:lang w:val="en-us" w:eastAsia="en-us" w:bidi="en-us"/>
      </w:rPr>
    </w:lvl>
    <w:lvl w:ilvl="5">
      <w:start w:val="0"/>
      <w:numFmt w:val="bullet"/>
      <w:lvlText w:val="•"/>
      <w:lvlJc w:val="left"/>
      <w:pPr>
        <w:ind w:left="7950" w:hanging="334"/>
      </w:pPr>
      <w:rPr>
        <w:rFonts w:hint="default"/>
        <w:lang w:val="en-us" w:eastAsia="en-us" w:bidi="en-us"/>
      </w:rPr>
    </w:lvl>
    <w:lvl w:ilvl="6">
      <w:start w:val="0"/>
      <w:numFmt w:val="bullet"/>
      <w:lvlText w:val="•"/>
      <w:lvlJc w:val="left"/>
      <w:pPr>
        <w:ind w:left="9480" w:hanging="334"/>
      </w:pPr>
      <w:rPr>
        <w:rFonts w:hint="default"/>
        <w:lang w:val="en-us" w:eastAsia="en-us" w:bidi="en-us"/>
      </w:rPr>
    </w:lvl>
    <w:lvl w:ilvl="7">
      <w:start w:val="0"/>
      <w:numFmt w:val="bullet"/>
      <w:lvlText w:val="•"/>
      <w:lvlJc w:val="left"/>
      <w:pPr>
        <w:ind w:left="11010" w:hanging="334"/>
      </w:pPr>
      <w:rPr>
        <w:rFonts w:hint="default"/>
        <w:lang w:val="en-us" w:eastAsia="en-us" w:bidi="en-us"/>
      </w:rPr>
    </w:lvl>
    <w:lvl w:ilvl="8">
      <w:start w:val="0"/>
      <w:numFmt w:val="bullet"/>
      <w:lvlText w:val="•"/>
      <w:lvlJc w:val="left"/>
      <w:pPr>
        <w:ind w:left="12540" w:hanging="334"/>
      </w:pPr>
      <w:rPr>
        <w:rFonts w:hint="default"/>
        <w:lang w:val="en-us" w:eastAsia="en-us" w:bidi="en-us"/>
      </w:rPr>
    </w:lvl>
  </w:abstract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en-us"/>
    </w:rPr>
  </w:style>
  <w:style w:styleId="BodyText" w:type="paragraph">
    <w:name w:val="Body Text"/>
    <w:basedOn w:val="Normal"/>
    <w:uiPriority w:val="1"/>
    <w:qFormat/>
    <w:pPr/>
    <w:rPr>
      <w:rFonts w:ascii="Arial" w:hAnsi="Arial" w:eastAsia="Arial" w:cs="Arial"/>
      <w:sz w:val="24"/>
      <w:szCs w:val="24"/>
      <w:lang w:val="en-us" w:eastAsia="en-us" w:bidi="en-us"/>
    </w:rPr>
  </w:style>
  <w:style w:styleId="Heading1" w:type="paragraph">
    <w:name w:val="Heading 1"/>
    <w:basedOn w:val="Normal"/>
    <w:uiPriority w:val="1"/>
    <w:qFormat/>
    <w:pPr>
      <w:spacing w:before="20"/>
      <w:ind w:left="108"/>
      <w:outlineLvl w:val="1"/>
    </w:pPr>
    <w:rPr>
      <w:rFonts w:ascii="Arial" w:hAnsi="Arial" w:eastAsia="Arial" w:cs="Arial"/>
      <w:b/>
      <w:bCs/>
      <w:sz w:val="40"/>
      <w:szCs w:val="40"/>
      <w:lang w:val="en-us" w:eastAsia="en-us" w:bidi="en-us"/>
    </w:rPr>
  </w:style>
  <w:style w:styleId="Heading2" w:type="paragraph">
    <w:name w:val="Heading 2"/>
    <w:basedOn w:val="Normal"/>
    <w:uiPriority w:val="1"/>
    <w:qFormat/>
    <w:pPr>
      <w:spacing w:before="88"/>
      <w:ind w:left="240"/>
      <w:outlineLvl w:val="2"/>
    </w:pPr>
    <w:rPr>
      <w:rFonts w:ascii="Arial" w:hAnsi="Arial" w:eastAsia="Arial" w:cs="Arial"/>
      <w:b/>
      <w:bCs/>
      <w:sz w:val="36"/>
      <w:szCs w:val="36"/>
      <w:lang w:val="en-us" w:eastAsia="en-us" w:bidi="en-us"/>
    </w:rPr>
  </w:style>
  <w:style w:styleId="Heading3" w:type="paragraph">
    <w:name w:val="Heading 3"/>
    <w:basedOn w:val="Normal"/>
    <w:uiPriority w:val="1"/>
    <w:qFormat/>
    <w:pPr>
      <w:ind w:left="240"/>
      <w:outlineLvl w:val="3"/>
    </w:pPr>
    <w:rPr>
      <w:rFonts w:ascii="Arial" w:hAnsi="Arial" w:eastAsia="Arial" w:cs="Arial"/>
      <w:b/>
      <w:bCs/>
      <w:sz w:val="28"/>
      <w:szCs w:val="28"/>
      <w:lang w:val="en-us" w:eastAsia="en-us" w:bidi="en-us"/>
    </w:rPr>
  </w:style>
  <w:style w:styleId="Heading4" w:type="paragraph">
    <w:name w:val="Heading 4"/>
    <w:basedOn w:val="Normal"/>
    <w:uiPriority w:val="1"/>
    <w:qFormat/>
    <w:pPr>
      <w:ind w:left="240"/>
      <w:outlineLvl w:val="4"/>
    </w:pPr>
    <w:rPr>
      <w:rFonts w:ascii="Arial" w:hAnsi="Arial" w:eastAsia="Arial" w:cs="Arial"/>
      <w:b/>
      <w:bCs/>
      <w:i/>
      <w:sz w:val="24"/>
      <w:szCs w:val="24"/>
      <w:lang w:val="en-us" w:eastAsia="en-us" w:bidi="en-us"/>
    </w:rPr>
  </w:style>
  <w:style w:styleId="ListParagraph" w:type="paragraph">
    <w:name w:val="List Paragraph"/>
    <w:basedOn w:val="Normal"/>
    <w:uiPriority w:val="1"/>
    <w:qFormat/>
    <w:pPr>
      <w:ind w:left="960" w:hanging="360"/>
    </w:pPr>
    <w:rPr>
      <w:rFonts w:ascii="Arial" w:hAnsi="Arial" w:eastAsia="Arial" w:cs="Arial"/>
      <w:lang w:val="en-us" w:eastAsia="en-us" w:bidi="en-us"/>
    </w:rPr>
  </w:style>
  <w:style w:styleId="TableParagraph" w:type="paragraph">
    <w:name w:val="Table Paragraph"/>
    <w:basedOn w:val="Normal"/>
    <w:uiPriority w:val="1"/>
    <w:qFormat/>
    <w:pPr/>
    <w:rPr>
      <w:rFonts w:ascii="Arial" w:hAnsi="Arial" w:eastAsia="Arial" w:cs="Arial"/>
      <w:lang w:val="en-us" w:eastAsia="en-us" w:bidi="en-u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mailto:dawnc@sutter.k12.ca.us" TargetMode="External"/><Relationship Id="rId7" Type="http://schemas.openxmlformats.org/officeDocument/2006/relationships/hyperlink" Target="mailto:c@sutter.k12.ca.us" TargetMode="External"/><Relationship Id="rId8" Type="http://schemas.openxmlformats.org/officeDocument/2006/relationships/hyperlink" Target="http://www.doc-tracking.com/screenshots/21LCAP/Instructions/21LCAPInstructions.htm#PlanSummary" TargetMode="External"/><Relationship Id="rId9" Type="http://schemas.openxmlformats.org/officeDocument/2006/relationships/hyperlink" Target="http://www.doc-tracking.com/screenshots/21LCAP/Instructions/21LCAPInstructions.htm#generalinformation" TargetMode="External"/><Relationship Id="rId10" Type="http://schemas.openxmlformats.org/officeDocument/2006/relationships/hyperlink" Target="http://www.doc-tracking.com/screenshots/21LCAP/Instructions/21LCAPInstructions.htm#ReflectionsSuccesses" TargetMode="External"/><Relationship Id="rId11" Type="http://schemas.openxmlformats.org/officeDocument/2006/relationships/hyperlink" Target="http://www.doc-tracking.com/screenshots/21LCAP/Instructions/21LCAPInstructions.htm#ReflectionsIdentifiedNeed" TargetMode="External"/><Relationship Id="rId12" Type="http://schemas.openxmlformats.org/officeDocument/2006/relationships/hyperlink" Target="http://www.doc-tracking.com/screenshots/21LCAP/Instructions/21LCAPInstructions.htm#LCAPHighlights" TargetMode="External"/><Relationship Id="rId13" Type="http://schemas.openxmlformats.org/officeDocument/2006/relationships/hyperlink" Target="http://www.doc-tracking.com/screenshots/21LCAP/Instructions/21LCAPInstructions.htm#ComprehensiveSupportandImprovement" TargetMode="External"/><Relationship Id="rId14" Type="http://schemas.openxmlformats.org/officeDocument/2006/relationships/hyperlink" Target="http://www.doc-tracking.com/screenshots/21LCAP/Instructions/21LCAPInstructions.htm#SchoolsIdentified" TargetMode="External"/><Relationship Id="rId15" Type="http://schemas.openxmlformats.org/officeDocument/2006/relationships/hyperlink" Target="http://www.doc-tracking.com/screenshots/21LCAP/Instructions/21LCAPInstructions.htm#SupportforIdentifiedSchools" TargetMode="External"/><Relationship Id="rId16" Type="http://schemas.openxmlformats.org/officeDocument/2006/relationships/hyperlink" Target="http://www.doc-tracking.com/screenshots/21LCAP/Instructions/21LCAPInstructions.htm#MonitoringandEvaluatingEffectiveness" TargetMode="External"/><Relationship Id="rId17" Type="http://schemas.openxmlformats.org/officeDocument/2006/relationships/hyperlink" Target="http://www.doc-tracking.com/screenshots/21LCAP/Instructions/21LCAPInstructions.htm#StakeholderEngagement" TargetMode="External"/><Relationship Id="rId18" Type="http://schemas.openxmlformats.org/officeDocument/2006/relationships/hyperlink" Target="http://www.doc-tracking.com/screenshots/21LCAP/Instructions/21LCAPInstructions.htm#GoalsandActions" TargetMode="External"/><Relationship Id="rId19" Type="http://schemas.openxmlformats.org/officeDocument/2006/relationships/hyperlink" Target="http://www.doc-tracking.com/screenshots/21LCAP/Instructions/21LCAPInstructions.htm#goalDescription" TargetMode="External"/><Relationship Id="rId20" Type="http://schemas.openxmlformats.org/officeDocument/2006/relationships/hyperlink" Target="http://www.doc-tracking.com/screenshots/21LCAP/Instructions/21LCAPInstructions.htm#ExplanationofWhytheLEADevelopedGoals" TargetMode="External"/><Relationship Id="rId21" Type="http://schemas.openxmlformats.org/officeDocument/2006/relationships/hyperlink" Target="http://www.doc-tracking.com/screenshots/21LCAP/Instructions/21LCAPInstructions.htm#MeasuringandReportingResults" TargetMode="External"/><Relationship Id="rId22" Type="http://schemas.openxmlformats.org/officeDocument/2006/relationships/hyperlink" Target="http://www.doc-tracking.com/screenshots/21LCAP/Instructions/21LCAPInstructions.htm#actions" TargetMode="External"/><Relationship Id="rId23" Type="http://schemas.openxmlformats.org/officeDocument/2006/relationships/hyperlink" Target="http://www.doc-tracking.com/screenshots/21LCAP/Instructions/21LCAPInstructions.htm#GoalAnalysis" TargetMode="External"/><Relationship Id="rId24" Type="http://schemas.openxmlformats.org/officeDocument/2006/relationships/hyperlink" Target="http://www.doc-tracking.com/screenshots/21LCAP/Instructions/21LCAPInstructions.htm#IncreasedImprovedServices" TargetMode="External"/><Relationship Id="rId25" Type="http://schemas.openxmlformats.org/officeDocument/2006/relationships/hyperlink" Target="http://www.doc-tracking.com/screenshots/21LCAP/Instructions/21LCAPInstructions.htm#RequiredDescriptions" TargetMode="External"/><Relationship Id="rId26" Type="http://schemas.openxmlformats.org/officeDocument/2006/relationships/hyperlink" Target="http://www.doc-tracking.com/screenshots/21LCAP/Instructions/21LCAPInstructions.htm#plansummary" TargetMode="External"/><Relationship Id="rId27" Type="http://schemas.openxmlformats.org/officeDocument/2006/relationships/hyperlink" Target="http://www.doc-tracking.com/screenshots/21LCAP/Instructions/21LCAPInstructions.htm#stakeholderengagement" TargetMode="External"/><Relationship Id="rId28" Type="http://schemas.openxmlformats.org/officeDocument/2006/relationships/hyperlink" Target="http://www.doc-tracking.com/screenshots/21LCAP/Instructions/21LCAPInstructions.htm#goalsandactions" TargetMode="External"/><Relationship Id="rId29" Type="http://schemas.openxmlformats.org/officeDocument/2006/relationships/hyperlink" Target="http://www.doc-tracking.com/screenshots/21LCAP/Instructions/21LCAPInstructions.htm#increasedimprovedservices" TargetMode="External"/><Relationship Id="rId30" Type="http://schemas.openxmlformats.org/officeDocument/2006/relationships/hyperlink" Target="mailto:lcff@cde.ca.gov" TargetMode="External"/><Relationship Id="rId31" Type="http://schemas.openxmlformats.org/officeDocument/2006/relationships/hyperlink" Target="https://www.cde.ca.gov/re/lc/" TargetMode="External"/><Relationship Id="rId3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Local Agency Systems Support Office</dc:creator>
  <cp:keywords>2021-22 Local Control and Accountability Plan (LCAP)</cp:keywords>
  <dc:subject>2020-21 Local Control and Accountability Plan (LCAP)</dc:subject>
  <dc:title>2021-22 Local Control and Accountability Plan (LCAP)</dc:title>
  <dcterms:created xsi:type="dcterms:W3CDTF">2021-12-15T20:41:12Z</dcterms:created>
  <dcterms:modified xsi:type="dcterms:W3CDTF">2021-12-15T20:41:12Z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2021-01-29T00:00:00Z</vt:filetime>
  </property>
  <property fmtid="{D5CDD505-2E9C-101B-9397-08002B2CF9AE}" pid="3" name="Creator">
    <vt:lpwstr>Microsoft Office Word</vt:lpwstr>
  </property>
  <property fmtid="{D5CDD505-2E9C-101B-9397-08002B2CF9AE}" pid="4" name="LastSaved">
    <vt:filetime>2021-12-15T00:00:00Z</vt:filetime>
  </property>
</Properties>
</file>