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666pt;margin-top:0pt;width:54pt;height:468pt;mso-position-horizontal-relative:page;mso-position-vertical-relative:page;z-index:251658240" coordorigin="13320,0" coordsize="1080,9360">
            <v:shape style="position:absolute;left:13319;top:0;width:1080;height:9360" coordorigin="13320,0" coordsize="1080,9360" path="m14400,8424l13320,8424,13320,9360,14400,9360,14400,8424m14400,0l13320,0,13320,7488,14400,7488,14400,0e" filled="true" fillcolor="#464646" stroked="false">
              <v:path arrowok="t"/>
              <v:fill type="solid"/>
            </v:shape>
            <v:rect style="position:absolute;left:13320;top:7488;width:1080;height:936" filled="true" fillcolor="#2da2be" stroked="false">
              <v:fill type="solid"/>
            </v:rect>
            <w10:wrap type="none"/>
          </v:group>
        </w:pict>
      </w:r>
    </w:p>
    <w:p>
      <w:pPr>
        <w:pStyle w:val="BodyText"/>
        <w:spacing w:before="7"/>
        <w:rPr>
          <w:rFonts w:ascii="Times New Roman"/>
          <w:sz w:val="27"/>
        </w:rPr>
      </w:pPr>
    </w:p>
    <w:p>
      <w:pPr>
        <w:pStyle w:val="BodyText"/>
        <w:ind w:left="135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672756" cy="160972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756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spacing w:before="158"/>
        <w:ind w:left="2674" w:right="2153" w:firstLine="0"/>
        <w:jc w:val="center"/>
        <w:rPr>
          <w:rFonts w:ascii="Cambria"/>
          <w:b/>
          <w:sz w:val="64"/>
        </w:rPr>
      </w:pPr>
      <w:r>
        <w:rPr>
          <w:rFonts w:ascii="Cambria"/>
          <w:b/>
          <w:color w:val="464646"/>
          <w:sz w:val="64"/>
        </w:rPr>
        <w:t>Winship-Robbins School District</w:t>
      </w:r>
    </w:p>
    <w:p>
      <w:pPr>
        <w:spacing w:before="182"/>
        <w:ind w:left="2674" w:right="1643" w:firstLine="0"/>
        <w:jc w:val="center"/>
        <w:rPr>
          <w:rFonts w:ascii="Calibri"/>
          <w:b/>
          <w:sz w:val="56"/>
        </w:rPr>
      </w:pPr>
      <w:r>
        <w:rPr>
          <w:rFonts w:ascii="Calibri"/>
          <w:b/>
          <w:color w:val="DA1F28"/>
          <w:sz w:val="56"/>
        </w:rPr>
        <w:t>2020-2021 Adopted BUDGET REPORT</w:t>
      </w:r>
    </w:p>
    <w:p>
      <w:pPr>
        <w:pStyle w:val="BodyText"/>
        <w:spacing w:before="11"/>
        <w:rPr>
          <w:rFonts w:ascii="Calibri"/>
          <w:b/>
          <w:sz w:val="41"/>
        </w:rPr>
      </w:pPr>
    </w:p>
    <w:p>
      <w:pPr>
        <w:spacing w:line="278" w:lineRule="auto" w:before="0"/>
        <w:ind w:left="2098" w:right="6996" w:firstLine="0"/>
        <w:jc w:val="left"/>
        <w:rPr>
          <w:rFonts w:ascii="Calibri"/>
          <w:b/>
          <w:sz w:val="36"/>
        </w:rPr>
      </w:pPr>
      <w:r>
        <w:rPr>
          <w:rFonts w:ascii="Calibri"/>
          <w:b/>
          <w:color w:val="888888"/>
          <w:sz w:val="36"/>
        </w:rPr>
        <w:t>Dawn Carl Superintendent/Principal</w:t>
      </w:r>
    </w:p>
    <w:p>
      <w:pPr>
        <w:spacing w:after="0" w:line="278" w:lineRule="auto"/>
        <w:jc w:val="left"/>
        <w:rPr>
          <w:rFonts w:ascii="Calibri"/>
          <w:sz w:val="36"/>
        </w:rPr>
        <w:sectPr>
          <w:type w:val="continuous"/>
          <w:pgSz w:w="14400" w:h="9360" w:orient="landscape"/>
          <w:pgMar w:top="0" w:bottom="0" w:left="0" w:right="0"/>
        </w:sectPr>
      </w:pPr>
    </w:p>
    <w:p>
      <w:pPr>
        <w:pStyle w:val="BodyText"/>
        <w:rPr>
          <w:rFonts w:ascii="Calibri"/>
          <w:b/>
          <w:sz w:val="20"/>
        </w:rPr>
      </w:pPr>
      <w:r>
        <w:rPr/>
        <w:pict>
          <v:group style="position:absolute;margin-left:666pt;margin-top:0pt;width:54pt;height:468pt;mso-position-horizontal-relative:page;mso-position-vertical-relative:page;z-index:251660288" coordorigin="13320,0" coordsize="1080,9360">
            <v:shape style="position:absolute;left:13319;top:0;width:1080;height:9360" coordorigin="13320,0" coordsize="1080,9360" path="m14400,8424l13320,8424,13320,9360,14400,9360,14400,8424m14400,0l13320,0,13320,7488,14400,7488,14400,0e" filled="true" fillcolor="#464646" stroked="false">
              <v:path arrowok="t"/>
              <v:fill type="solid"/>
            </v:shape>
            <v:rect style="position:absolute;left:13320;top:7488;width:1080;height:936" filled="true" fillcolor="#2da2be" stroked="false">
              <v:fill type="solid"/>
            </v:rect>
            <v:shape style="position:absolute;left:6825430;top:-4181979;width:438912;height:274726" coordorigin="6825431,-4181978" coordsize="438912,274726" path="m13526,8251l13491,8243,13462,8224,13443,8195,13436,8160,13436,7800,13436,7800,13443,7765,13462,7736,13491,7717,13526,7710m14210,7710l14227,7711,14244,7717,14260,7725,14274,7736,14285,7750,14293,7765,14298,7782,14300,7800,14300,8160,14293,8195,14274,8224,14245,8243,14210,8251e" filled="false" stroked="true" strokeweight="1.5pt" strokecolor="#ffffff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3320;top:7488;width:1080;height:936" type="#_x0000_t202" filled="false" stroked="false">
              <v:textbox inset="0,0,0,0">
                <w:txbxContent>
                  <w:p>
                    <w:pPr>
                      <w:spacing w:before="282"/>
                      <w:ind w:left="15" w:right="0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10"/>
        <w:rPr>
          <w:rFonts w:ascii="Calibri"/>
          <w:b/>
          <w:sz w:val="15"/>
        </w:rPr>
      </w:pPr>
    </w:p>
    <w:p>
      <w:pPr>
        <w:pStyle w:val="Heading1"/>
        <w:spacing w:line="249" w:lineRule="auto" w:before="46"/>
        <w:ind w:left="3353" w:right="3660"/>
      </w:pPr>
      <w:r>
        <w:rPr>
          <w:color w:val="DA1F28"/>
        </w:rPr>
        <w:t>Winship-Robbins Elementary School District TABLE OF CONTENTS</w:t>
      </w:r>
    </w:p>
    <w:p>
      <w:pPr>
        <w:spacing w:line="375" w:lineRule="exact" w:before="0"/>
        <w:ind w:left="1852" w:right="2153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color w:val="DA1F28"/>
          <w:sz w:val="32"/>
        </w:rPr>
        <w:t>2020-21 Adopted Budget</w:t>
      </w:r>
      <w:r>
        <w:rPr>
          <w:rFonts w:ascii="Cambria"/>
          <w:b/>
          <w:color w:val="DA1F28"/>
          <w:spacing w:val="64"/>
          <w:sz w:val="32"/>
        </w:rPr>
        <w:t> </w:t>
      </w:r>
      <w:r>
        <w:rPr>
          <w:rFonts w:ascii="Cambria"/>
          <w:b/>
          <w:color w:val="DA1F28"/>
          <w:sz w:val="32"/>
        </w:rPr>
        <w:t>Report</w:t>
      </w: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spacing w:before="9"/>
        <w:rPr>
          <w:rFonts w:ascii="Cambria"/>
          <w:b/>
          <w:sz w:val="28"/>
        </w:rPr>
      </w:pPr>
    </w:p>
    <w:p>
      <w:pPr>
        <w:tabs>
          <w:tab w:pos="6914" w:val="left" w:leader="none"/>
        </w:tabs>
        <w:spacing w:before="90"/>
        <w:ind w:left="1155" w:right="0" w:firstLine="0"/>
        <w:jc w:val="left"/>
        <w:rPr>
          <w:sz w:val="32"/>
        </w:rPr>
      </w:pPr>
      <w:r>
        <w:rPr>
          <w:sz w:val="32"/>
        </w:rPr>
        <w:t>Budget</w:t>
      </w:r>
      <w:r>
        <w:rPr>
          <w:spacing w:val="-7"/>
          <w:sz w:val="32"/>
        </w:rPr>
        <w:t> </w:t>
      </w:r>
      <w:r>
        <w:rPr>
          <w:sz w:val="32"/>
        </w:rPr>
        <w:t>Introduction</w:t>
        <w:tab/>
        <w:t>Page</w:t>
      </w:r>
      <w:r>
        <w:rPr>
          <w:spacing w:val="-1"/>
          <w:sz w:val="32"/>
        </w:rPr>
        <w:t> </w:t>
      </w:r>
      <w:r>
        <w:rPr>
          <w:sz w:val="32"/>
        </w:rPr>
        <w:t>3</w:t>
      </w:r>
    </w:p>
    <w:p>
      <w:pPr>
        <w:tabs>
          <w:tab w:pos="6194" w:val="left" w:leader="none"/>
          <w:tab w:pos="8354" w:val="left" w:leader="none"/>
        </w:tabs>
        <w:spacing w:line="391" w:lineRule="auto" w:before="232"/>
        <w:ind w:left="1155" w:right="5031" w:firstLine="0"/>
        <w:jc w:val="left"/>
        <w:rPr>
          <w:sz w:val="32"/>
        </w:rPr>
      </w:pPr>
      <w:r>
        <w:rPr>
          <w:sz w:val="32"/>
        </w:rPr>
        <w:t>General Fund</w:t>
      </w:r>
      <w:r>
        <w:rPr>
          <w:spacing w:val="-13"/>
          <w:sz w:val="32"/>
        </w:rPr>
        <w:t> </w:t>
      </w:r>
      <w:r>
        <w:rPr>
          <w:sz w:val="32"/>
        </w:rPr>
        <w:t>Revenue</w:t>
      </w:r>
      <w:r>
        <w:rPr>
          <w:spacing w:val="-22"/>
          <w:sz w:val="32"/>
        </w:rPr>
        <w:t> </w:t>
      </w:r>
      <w:r>
        <w:rPr>
          <w:sz w:val="32"/>
        </w:rPr>
        <w:t>Assumptions</w:t>
        <w:tab/>
        <w:t>Page </w:t>
      </w:r>
      <w:r>
        <w:rPr>
          <w:spacing w:val="-16"/>
          <w:sz w:val="32"/>
        </w:rPr>
        <w:t>4 </w:t>
      </w:r>
      <w:r>
        <w:rPr>
          <w:sz w:val="32"/>
        </w:rPr>
        <w:t>State</w:t>
      </w:r>
      <w:r>
        <w:rPr>
          <w:spacing w:val="-6"/>
          <w:sz w:val="32"/>
        </w:rPr>
        <w:t> </w:t>
      </w:r>
      <w:r>
        <w:rPr>
          <w:sz w:val="32"/>
        </w:rPr>
        <w:t>Priorities</w:t>
        <w:tab/>
        <w:t>Page</w:t>
      </w:r>
      <w:r>
        <w:rPr>
          <w:spacing w:val="-1"/>
          <w:sz w:val="32"/>
        </w:rPr>
        <w:t> </w:t>
      </w:r>
      <w:r>
        <w:rPr>
          <w:sz w:val="32"/>
        </w:rPr>
        <w:t>5</w:t>
      </w:r>
    </w:p>
    <w:p>
      <w:pPr>
        <w:tabs>
          <w:tab w:pos="6194" w:val="left" w:leader="none"/>
          <w:tab w:pos="6914" w:val="left" w:leader="none"/>
          <w:tab w:pos="7634" w:val="left" w:leader="none"/>
        </w:tabs>
        <w:spacing w:line="391" w:lineRule="auto" w:before="1"/>
        <w:ind w:left="1155" w:right="4952" w:firstLine="0"/>
        <w:jc w:val="left"/>
        <w:rPr>
          <w:sz w:val="32"/>
        </w:rPr>
      </w:pPr>
      <w:r>
        <w:rPr>
          <w:sz w:val="32"/>
        </w:rPr>
        <w:t>General</w:t>
      </w:r>
      <w:r>
        <w:rPr>
          <w:spacing w:val="-5"/>
          <w:sz w:val="32"/>
        </w:rPr>
        <w:t> </w:t>
      </w:r>
      <w:r>
        <w:rPr>
          <w:sz w:val="32"/>
        </w:rPr>
        <w:t>Fund</w:t>
      </w:r>
      <w:r>
        <w:rPr>
          <w:spacing w:val="-5"/>
          <w:sz w:val="32"/>
        </w:rPr>
        <w:t> </w:t>
      </w:r>
      <w:r>
        <w:rPr>
          <w:sz w:val="32"/>
        </w:rPr>
        <w:t>Revenues</w:t>
        <w:tab/>
        <w:tab/>
        <w:t>Pages 6 - 7 General</w:t>
      </w:r>
      <w:r>
        <w:rPr>
          <w:spacing w:val="-6"/>
          <w:sz w:val="32"/>
        </w:rPr>
        <w:t> </w:t>
      </w:r>
      <w:r>
        <w:rPr>
          <w:sz w:val="32"/>
        </w:rPr>
        <w:t>Fund</w:t>
      </w:r>
      <w:r>
        <w:rPr>
          <w:spacing w:val="-6"/>
          <w:sz w:val="32"/>
        </w:rPr>
        <w:t> </w:t>
      </w:r>
      <w:r>
        <w:rPr>
          <w:sz w:val="32"/>
        </w:rPr>
        <w:t>Expenditures</w:t>
        <w:tab/>
        <w:tab/>
        <w:tab/>
        <w:t>Pages 8 - </w:t>
      </w:r>
      <w:r>
        <w:rPr>
          <w:spacing w:val="-7"/>
          <w:sz w:val="32"/>
        </w:rPr>
        <w:t>10 </w:t>
      </w:r>
      <w:r>
        <w:rPr>
          <w:sz w:val="32"/>
        </w:rPr>
        <w:t>General</w:t>
      </w:r>
      <w:r>
        <w:rPr>
          <w:spacing w:val="-5"/>
          <w:sz w:val="32"/>
        </w:rPr>
        <w:t> </w:t>
      </w:r>
      <w:r>
        <w:rPr>
          <w:sz w:val="32"/>
        </w:rPr>
        <w:t>Fund</w:t>
      </w:r>
      <w:r>
        <w:rPr>
          <w:spacing w:val="-5"/>
          <w:sz w:val="32"/>
        </w:rPr>
        <w:t> </w:t>
      </w:r>
      <w:r>
        <w:rPr>
          <w:sz w:val="32"/>
        </w:rPr>
        <w:t>Balance</w:t>
        <w:tab/>
        <w:tab/>
        <w:t>Page </w:t>
      </w:r>
      <w:r>
        <w:rPr>
          <w:spacing w:val="-12"/>
          <w:sz w:val="32"/>
        </w:rPr>
        <w:t>11 </w:t>
      </w:r>
      <w:r>
        <w:rPr>
          <w:sz w:val="32"/>
        </w:rPr>
        <w:t>Revenues</w:t>
      </w:r>
      <w:r>
        <w:rPr>
          <w:spacing w:val="-5"/>
          <w:sz w:val="32"/>
        </w:rPr>
        <w:t> </w:t>
      </w:r>
      <w:r>
        <w:rPr>
          <w:spacing w:val="-4"/>
          <w:sz w:val="32"/>
        </w:rPr>
        <w:t>Versus</w:t>
      </w:r>
      <w:r>
        <w:rPr>
          <w:spacing w:val="-5"/>
          <w:sz w:val="32"/>
        </w:rPr>
        <w:t> </w:t>
      </w:r>
      <w:r>
        <w:rPr>
          <w:sz w:val="32"/>
        </w:rPr>
        <w:t>Expenditures</w:t>
        <w:tab/>
        <w:tab/>
        <w:tab/>
        <w:t>Page 12 Other</w:t>
      </w:r>
      <w:r>
        <w:rPr>
          <w:spacing w:val="-4"/>
          <w:sz w:val="32"/>
        </w:rPr>
        <w:t> </w:t>
      </w:r>
      <w:r>
        <w:rPr>
          <w:sz w:val="32"/>
        </w:rPr>
        <w:t>Funds</w:t>
        <w:tab/>
        <w:t>Page</w:t>
      </w:r>
      <w:r>
        <w:rPr>
          <w:spacing w:val="-1"/>
          <w:sz w:val="32"/>
        </w:rPr>
        <w:t> </w:t>
      </w:r>
      <w:r>
        <w:rPr>
          <w:sz w:val="32"/>
        </w:rPr>
        <w:t>13</w:t>
      </w:r>
    </w:p>
    <w:p>
      <w:pPr>
        <w:tabs>
          <w:tab w:pos="6914" w:val="left" w:leader="none"/>
          <w:tab w:pos="7634" w:val="left" w:leader="none"/>
        </w:tabs>
        <w:spacing w:line="391" w:lineRule="auto" w:before="1"/>
        <w:ind w:left="1155" w:right="4774" w:firstLine="0"/>
        <w:jc w:val="left"/>
        <w:rPr>
          <w:sz w:val="32"/>
        </w:rPr>
      </w:pPr>
      <w:r>
        <w:rPr>
          <w:spacing w:val="-4"/>
          <w:sz w:val="32"/>
        </w:rPr>
        <w:t>Multi-Year </w:t>
      </w:r>
      <w:r>
        <w:rPr>
          <w:sz w:val="32"/>
        </w:rPr>
        <w:t>Assumptions</w:t>
      </w:r>
      <w:r>
        <w:rPr>
          <w:spacing w:val="-17"/>
          <w:sz w:val="32"/>
        </w:rPr>
        <w:t> </w:t>
      </w:r>
      <w:r>
        <w:rPr>
          <w:sz w:val="32"/>
        </w:rPr>
        <w:t>and</w:t>
      </w:r>
      <w:r>
        <w:rPr>
          <w:spacing w:val="-2"/>
          <w:sz w:val="32"/>
        </w:rPr>
        <w:t> </w:t>
      </w:r>
      <w:r>
        <w:rPr>
          <w:sz w:val="32"/>
        </w:rPr>
        <w:t>MYP</w:t>
        <w:tab/>
        <w:tab/>
        <w:t>Pages 14 - </w:t>
      </w:r>
      <w:r>
        <w:rPr>
          <w:spacing w:val="-7"/>
          <w:sz w:val="32"/>
        </w:rPr>
        <w:t>15 </w:t>
      </w:r>
      <w:r>
        <w:rPr>
          <w:sz w:val="32"/>
        </w:rPr>
        <w:t>Enrollment-</w:t>
      </w:r>
      <w:r>
        <w:rPr>
          <w:spacing w:val="-22"/>
          <w:sz w:val="32"/>
        </w:rPr>
        <w:t> </w:t>
      </w:r>
      <w:r>
        <w:rPr>
          <w:sz w:val="32"/>
        </w:rPr>
        <w:t>ADA</w:t>
      </w:r>
      <w:r>
        <w:rPr>
          <w:spacing w:val="-26"/>
          <w:sz w:val="32"/>
        </w:rPr>
        <w:t> </w:t>
      </w:r>
      <w:r>
        <w:rPr>
          <w:spacing w:val="-3"/>
          <w:sz w:val="32"/>
        </w:rPr>
        <w:t>Trend</w:t>
        <w:tab/>
      </w:r>
      <w:r>
        <w:rPr>
          <w:sz w:val="32"/>
        </w:rPr>
        <w:t>Page</w:t>
      </w:r>
      <w:r>
        <w:rPr>
          <w:spacing w:val="-1"/>
          <w:sz w:val="32"/>
        </w:rPr>
        <w:t> </w:t>
      </w:r>
      <w:r>
        <w:rPr>
          <w:sz w:val="32"/>
        </w:rPr>
        <w:t>16</w:t>
      </w:r>
    </w:p>
    <w:p>
      <w:pPr>
        <w:spacing w:after="0" w:line="391" w:lineRule="auto"/>
        <w:jc w:val="left"/>
        <w:rPr>
          <w:sz w:val="32"/>
        </w:rPr>
        <w:sectPr>
          <w:pgSz w:w="14400" w:h="9360" w:orient="landscape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666pt;margin-top:0pt;width:54pt;height:468pt;mso-position-horizontal-relative:page;mso-position-vertical-relative:page;z-index:251662336" coordorigin="13320,0" coordsize="1080,9360">
            <v:shape style="position:absolute;left:13319;top:0;width:1080;height:9360" coordorigin="13320,0" coordsize="1080,9360" path="m14400,8424l13320,8424,13320,9360,14400,9360,14400,8424m14400,0l13320,0,13320,7488,14400,7488,14400,0e" filled="true" fillcolor="#464646" stroked="false">
              <v:path arrowok="t"/>
              <v:fill type="solid"/>
            </v:shape>
            <v:rect style="position:absolute;left:13320;top:7488;width:1080;height:936" filled="true" fillcolor="#2da2be" stroked="false">
              <v:fill type="solid"/>
            </v:rect>
            <v:shape style="position:absolute;left:6825430;top:-4181979;width:438912;height:274726" coordorigin="6825431,-4181978" coordsize="438912,274726" path="m13526,8251l13491,8243,13462,8224,13443,8195,13436,8160,13436,7800,13436,7800,13443,7765,13462,7736,13491,7717,13526,7710m14210,7710l14227,7711,14244,7717,14260,7725,14274,7736,14285,7750,14293,7765,14298,7782,14300,7800,14300,8160,14293,8195,14274,8224,14245,8243,14210,8251e" filled="false" stroked="true" strokeweight="1.5pt" strokecolor="#ffffff">
              <v:path arrowok="t"/>
              <v:stroke dashstyle="solid"/>
            </v:shape>
            <v:shape style="position:absolute;left:13320;top:7488;width:1080;height:936" type="#_x0000_t202" filled="false" stroked="false">
              <v:textbox inset="0,0,0,0">
                <w:txbxContent>
                  <w:p>
                    <w:pPr>
                      <w:spacing w:before="282"/>
                      <w:ind w:left="15" w:right="0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spacing w:line="249" w:lineRule="auto" w:before="218"/>
        <w:ind w:left="2674" w:right="3153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color w:val="DA1F28"/>
          <w:sz w:val="32"/>
        </w:rPr>
        <w:t>Winship-Robbins Elementary School District INTRODUCTION</w:t>
      </w:r>
    </w:p>
    <w:p>
      <w:pPr>
        <w:spacing w:line="375" w:lineRule="exact" w:before="0"/>
        <w:ind w:left="1679" w:right="2153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color w:val="DA1F28"/>
          <w:sz w:val="32"/>
        </w:rPr>
        <w:t>2020-2021 Adopted Budget</w:t>
      </w:r>
      <w:r>
        <w:rPr>
          <w:rFonts w:ascii="Cambria"/>
          <w:b/>
          <w:color w:val="DA1F28"/>
          <w:spacing w:val="64"/>
          <w:sz w:val="32"/>
        </w:rPr>
        <w:t> </w:t>
      </w:r>
      <w:r>
        <w:rPr>
          <w:rFonts w:ascii="Cambria"/>
          <w:b/>
          <w:color w:val="DA1F28"/>
          <w:sz w:val="32"/>
        </w:rPr>
        <w:t>Report</w:t>
      </w: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spacing w:before="4"/>
        <w:rPr>
          <w:rFonts w:ascii="Cambria"/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513" w:val="left" w:leader="none"/>
          <w:tab w:pos="1514" w:val="left" w:leader="none"/>
        </w:tabs>
        <w:spacing w:line="249" w:lineRule="auto" w:before="92" w:after="0"/>
        <w:ind w:left="1513" w:right="2024" w:hanging="567"/>
        <w:jc w:val="left"/>
        <w:rPr>
          <w:sz w:val="24"/>
        </w:rPr>
      </w:pPr>
      <w:r>
        <w:rPr>
          <w:sz w:val="24"/>
        </w:rPr>
        <w:t>The County Office, under AB1200, requires districts to document and include written budget assumptions in the budget package submitted for approval to the district Board of Trustees. Each district</w:t>
      </w:r>
      <w:r>
        <w:rPr>
          <w:spacing w:val="-5"/>
          <w:sz w:val="24"/>
        </w:rPr>
        <w:t> </w:t>
      </w:r>
      <w:r>
        <w:rPr>
          <w:sz w:val="24"/>
        </w:rPr>
        <w:t>should</w:t>
      </w:r>
      <w:r>
        <w:rPr>
          <w:spacing w:val="-5"/>
          <w:sz w:val="24"/>
        </w:rPr>
        <w:t> </w:t>
      </w:r>
      <w:r>
        <w:rPr>
          <w:sz w:val="24"/>
        </w:rPr>
        <w:t>advise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Board,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way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budget</w:t>
      </w:r>
      <w:r>
        <w:rPr>
          <w:spacing w:val="-5"/>
          <w:sz w:val="24"/>
        </w:rPr>
        <w:t> </w:t>
      </w:r>
      <w:r>
        <w:rPr>
          <w:sz w:val="24"/>
        </w:rPr>
        <w:t>documents,</w:t>
      </w:r>
      <w:r>
        <w:rPr>
          <w:spacing w:val="-5"/>
          <w:sz w:val="24"/>
        </w:rPr>
        <w:t> </w:t>
      </w:r>
      <w:r>
        <w:rPr>
          <w:sz w:val="24"/>
        </w:rPr>
        <w:t>accompanied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brief</w:t>
      </w:r>
      <w:r>
        <w:rPr>
          <w:spacing w:val="-5"/>
          <w:sz w:val="24"/>
        </w:rPr>
        <w:t> </w:t>
      </w:r>
      <w:r>
        <w:rPr>
          <w:sz w:val="24"/>
        </w:rPr>
        <w:t>narrative,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 financial condition of the district. This report will provide the required information for the Board to certify the district’s ability to meet its financial</w:t>
      </w:r>
      <w:r>
        <w:rPr>
          <w:spacing w:val="-13"/>
          <w:sz w:val="24"/>
        </w:rPr>
        <w:t> </w:t>
      </w:r>
      <w:r>
        <w:rPr>
          <w:sz w:val="24"/>
        </w:rPr>
        <w:t>obligations.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34"/>
        </w:rPr>
      </w:pPr>
    </w:p>
    <w:p>
      <w:pPr>
        <w:pStyle w:val="ListParagraph"/>
        <w:numPr>
          <w:ilvl w:val="0"/>
          <w:numId w:val="1"/>
        </w:numPr>
        <w:tabs>
          <w:tab w:pos="1513" w:val="left" w:leader="none"/>
          <w:tab w:pos="1514" w:val="left" w:leader="none"/>
        </w:tabs>
        <w:spacing w:line="249" w:lineRule="auto" w:before="0" w:after="0"/>
        <w:ind w:left="1513" w:right="2411" w:hanging="567"/>
        <w:jc w:val="left"/>
        <w:rPr>
          <w:sz w:val="24"/>
        </w:rPr>
      </w:pPr>
      <w:r>
        <w:rPr>
          <w:sz w:val="24"/>
        </w:rPr>
        <w:t>The</w:t>
      </w:r>
      <w:r>
        <w:rPr>
          <w:spacing w:val="-17"/>
          <w:sz w:val="24"/>
        </w:rPr>
        <w:t> </w:t>
      </w:r>
      <w:r>
        <w:rPr>
          <w:sz w:val="24"/>
        </w:rPr>
        <w:t>Adopted</w:t>
      </w:r>
      <w:r>
        <w:rPr>
          <w:spacing w:val="-4"/>
          <w:sz w:val="24"/>
        </w:rPr>
        <w:t> </w:t>
      </w:r>
      <w:r>
        <w:rPr>
          <w:sz w:val="24"/>
        </w:rPr>
        <w:t>Budget</w:t>
      </w:r>
      <w:r>
        <w:rPr>
          <w:spacing w:val="-5"/>
          <w:sz w:val="24"/>
        </w:rPr>
        <w:t> </w:t>
      </w:r>
      <w:r>
        <w:rPr>
          <w:sz w:val="24"/>
        </w:rPr>
        <w:t>Report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presented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fund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major</w:t>
      </w:r>
      <w:r>
        <w:rPr>
          <w:spacing w:val="-4"/>
          <w:sz w:val="24"/>
        </w:rPr>
        <w:t> </w:t>
      </w:r>
      <w:r>
        <w:rPr>
          <w:sz w:val="24"/>
        </w:rPr>
        <w:t>object</w:t>
      </w:r>
      <w:r>
        <w:rPr>
          <w:spacing w:val="-5"/>
          <w:sz w:val="24"/>
        </w:rPr>
        <w:t> </w:t>
      </w:r>
      <w:r>
        <w:rPr>
          <w:sz w:val="24"/>
        </w:rPr>
        <w:t>account</w:t>
      </w:r>
      <w:r>
        <w:rPr>
          <w:spacing w:val="-4"/>
          <w:sz w:val="24"/>
        </w:rPr>
        <w:t> </w:t>
      </w:r>
      <w:r>
        <w:rPr>
          <w:sz w:val="24"/>
        </w:rPr>
        <w:t>classification,</w:t>
      </w:r>
      <w:r>
        <w:rPr>
          <w:spacing w:val="-4"/>
          <w:sz w:val="24"/>
        </w:rPr>
        <w:t> </w:t>
      </w:r>
      <w:r>
        <w:rPr>
          <w:sz w:val="24"/>
        </w:rPr>
        <w:t>reflecting 2019-2020 </w:t>
      </w:r>
      <w:r>
        <w:rPr>
          <w:i/>
          <w:sz w:val="24"/>
        </w:rPr>
        <w:t>“Estimated Actuals”</w:t>
      </w:r>
      <w:r>
        <w:rPr>
          <w:i/>
          <w:spacing w:val="13"/>
          <w:sz w:val="24"/>
        </w:rPr>
        <w:t> </w:t>
      </w:r>
      <w:r>
        <w:rPr>
          <w:sz w:val="24"/>
        </w:rPr>
        <w:t>in columns A-C and the Proposed 2020-2021 </w:t>
      </w:r>
      <w:r>
        <w:rPr>
          <w:i/>
          <w:sz w:val="24"/>
        </w:rPr>
        <w:t>“Budget” </w:t>
      </w:r>
      <w:r>
        <w:rPr>
          <w:sz w:val="24"/>
        </w:rPr>
        <w:t>in columns</w:t>
      </w:r>
    </w:p>
    <w:p>
      <w:pPr>
        <w:spacing w:line="275" w:lineRule="exact" w:before="0"/>
        <w:ind w:left="1513" w:right="0" w:firstLine="0"/>
        <w:jc w:val="left"/>
        <w:rPr>
          <w:b/>
          <w:sz w:val="24"/>
        </w:rPr>
      </w:pPr>
      <w:r>
        <w:rPr>
          <w:sz w:val="24"/>
        </w:rPr>
        <w:t>D-F. The final column reflects the percentage of variance between the </w:t>
      </w:r>
      <w:r>
        <w:rPr>
          <w:b/>
          <w:sz w:val="24"/>
        </w:rPr>
        <w:t>2019-2020 Estimated Actuals</w:t>
      </w:r>
    </w:p>
    <w:p>
      <w:pPr>
        <w:spacing w:before="9"/>
        <w:ind w:left="1513" w:right="0" w:firstLine="0"/>
        <w:jc w:val="left"/>
        <w:rPr>
          <w:b/>
          <w:sz w:val="24"/>
        </w:rPr>
      </w:pPr>
      <w:r>
        <w:rPr>
          <w:sz w:val="24"/>
        </w:rPr>
        <w:t>and the </w:t>
      </w:r>
      <w:r>
        <w:rPr>
          <w:b/>
          <w:i/>
          <w:sz w:val="24"/>
        </w:rPr>
        <w:t>proposed </w:t>
      </w:r>
      <w:r>
        <w:rPr>
          <w:b/>
          <w:sz w:val="24"/>
        </w:rPr>
        <w:t>2020-2021 Budget.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1513" w:val="left" w:leader="none"/>
          <w:tab w:pos="1514" w:val="left" w:leader="none"/>
        </w:tabs>
        <w:spacing w:line="249" w:lineRule="auto" w:before="0" w:after="0"/>
        <w:ind w:left="1513" w:right="2126" w:hanging="567"/>
        <w:jc w:val="left"/>
        <w:rPr>
          <w:sz w:val="24"/>
        </w:rPr>
      </w:pPr>
      <w:r>
        <w:rPr>
          <w:sz w:val="24"/>
        </w:rPr>
        <w:t>This</w:t>
      </w:r>
      <w:r>
        <w:rPr>
          <w:spacing w:val="-5"/>
          <w:sz w:val="24"/>
        </w:rPr>
        <w:t> </w:t>
      </w:r>
      <w:r>
        <w:rPr>
          <w:sz w:val="24"/>
        </w:rPr>
        <w:t>report</w:t>
      </w:r>
      <w:r>
        <w:rPr>
          <w:spacing w:val="-4"/>
          <w:sz w:val="24"/>
        </w:rPr>
        <w:t> </w:t>
      </w:r>
      <w:r>
        <w:rPr>
          <w:sz w:val="24"/>
        </w:rPr>
        <w:t>contains</w:t>
      </w:r>
      <w:r>
        <w:rPr>
          <w:spacing w:val="-4"/>
          <w:sz w:val="24"/>
        </w:rPr>
        <w:t> </w:t>
      </w:r>
      <w:r>
        <w:rPr>
          <w:sz w:val="24"/>
        </w:rPr>
        <w:t>information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estimates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reflect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information</w:t>
      </w:r>
      <w:r>
        <w:rPr>
          <w:spacing w:val="-4"/>
          <w:sz w:val="24"/>
        </w:rPr>
        <w:t> </w:t>
      </w:r>
      <w:r>
        <w:rPr>
          <w:sz w:val="24"/>
        </w:rPr>
        <w:t>contained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Governor’s May Revision State Budget</w:t>
      </w:r>
      <w:r>
        <w:rPr>
          <w:spacing w:val="-5"/>
          <w:sz w:val="24"/>
        </w:rPr>
        <w:t> </w:t>
      </w:r>
      <w:r>
        <w:rPr>
          <w:sz w:val="24"/>
        </w:rPr>
        <w:t>proposal.</w:t>
      </w:r>
    </w:p>
    <w:p>
      <w:pPr>
        <w:spacing w:after="0" w:line="249" w:lineRule="auto"/>
        <w:jc w:val="left"/>
        <w:rPr>
          <w:sz w:val="24"/>
        </w:rPr>
        <w:sectPr>
          <w:pgSz w:w="14400" w:h="9360" w:orient="landscape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666pt;margin-top:0pt;width:54pt;height:468pt;mso-position-horizontal-relative:page;mso-position-vertical-relative:page;z-index:251664384" coordorigin="13320,0" coordsize="1080,9360">
            <v:shape style="position:absolute;left:13319;top:0;width:1080;height:9360" coordorigin="13320,0" coordsize="1080,9360" path="m14400,8424l13320,8424,13320,9360,14400,9360,14400,8424m14400,0l13320,0,13320,7488,14400,7488,14400,0e" filled="true" fillcolor="#464646" stroked="false">
              <v:path arrowok="t"/>
              <v:fill type="solid"/>
            </v:shape>
            <v:rect style="position:absolute;left:13320;top:7488;width:1080;height:936" filled="true" fillcolor="#2da2be" stroked="false">
              <v:fill type="solid"/>
            </v:rect>
            <v:shape style="position:absolute;left:6825430;top:-4181979;width:438912;height:274726" coordorigin="6825431,-4181978" coordsize="438912,274726" path="m13526,8251l13491,8243,13462,8224,13443,8195,13436,8160,13436,7800,13436,7800,13443,7765,13462,7736,13491,7717,13526,7710m14210,7710l14227,7711,14244,7717,14260,7725,14274,7736,14285,7750,14293,7765,14298,7782,14300,7800,14300,8160,14293,8195,14274,8224,14245,8243,14210,8251e" filled="false" stroked="true" strokeweight="1.5pt" strokecolor="#ffffff">
              <v:path arrowok="t"/>
              <v:stroke dashstyle="solid"/>
            </v:shape>
            <v:shape style="position:absolute;left:13320;top:7488;width:1080;height:936" type="#_x0000_t202" filled="false" stroked="false">
              <v:textbox inset="0,0,0,0">
                <w:txbxContent>
                  <w:p>
                    <w:pPr>
                      <w:spacing w:before="282"/>
                      <w:ind w:left="15" w:right="0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10"/>
        <w:rPr>
          <w:sz w:val="25"/>
        </w:rPr>
      </w:pPr>
    </w:p>
    <w:p>
      <w:pPr>
        <w:pStyle w:val="Heading1"/>
        <w:spacing w:line="249" w:lineRule="auto" w:before="45"/>
        <w:ind w:left="4082" w:right="4372" w:hanging="632"/>
        <w:jc w:val="left"/>
      </w:pPr>
      <w:r>
        <w:rPr>
          <w:color w:val="DA1F28"/>
        </w:rPr>
        <w:t>Winship-Robbins Elementary School District General Fund </w:t>
      </w:r>
      <w:r>
        <w:rPr>
          <w:color w:val="DA1F28"/>
          <w:spacing w:val="-4"/>
        </w:rPr>
        <w:t>Revenue </w:t>
      </w:r>
      <w:r>
        <w:rPr>
          <w:color w:val="DA1F28"/>
        </w:rPr>
        <w:t>Assumptions 2020-2021 Adopted Budget</w:t>
      </w:r>
      <w:r>
        <w:rPr>
          <w:color w:val="DA1F28"/>
          <w:spacing w:val="54"/>
        </w:rPr>
        <w:t> </w:t>
      </w:r>
      <w:r>
        <w:rPr>
          <w:color w:val="DA1F28"/>
        </w:rPr>
        <w:t>Report</w:t>
      </w: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spacing w:before="8"/>
        <w:rPr>
          <w:rFonts w:ascii="Cambria"/>
          <w:b/>
          <w:sz w:val="15"/>
        </w:rPr>
      </w:pPr>
    </w:p>
    <w:p>
      <w:pPr>
        <w:pStyle w:val="Heading2"/>
        <w:spacing w:before="89"/>
        <w:rPr>
          <w:i/>
          <w:u w:val="none"/>
        </w:rPr>
      </w:pPr>
      <w:r>
        <w:rPr>
          <w:i/>
          <w:u w:val="thick"/>
        </w:rPr>
        <w:t>Local Control Funding Formula</w:t>
      </w:r>
    </w:p>
    <w:p>
      <w:pPr>
        <w:pStyle w:val="ListParagraph"/>
        <w:numPr>
          <w:ilvl w:val="0"/>
          <w:numId w:val="2"/>
        </w:numPr>
        <w:tabs>
          <w:tab w:pos="1574" w:val="left" w:leader="none"/>
          <w:tab w:pos="1575" w:val="left" w:leader="none"/>
        </w:tabs>
        <w:spacing w:line="254" w:lineRule="auto" w:before="143" w:after="0"/>
        <w:ind w:left="1575" w:right="2224" w:hanging="672"/>
        <w:jc w:val="left"/>
        <w:rPr>
          <w:sz w:val="32"/>
        </w:rPr>
      </w:pPr>
      <w:r>
        <w:rPr>
          <w:sz w:val="32"/>
        </w:rPr>
        <w:t>Based</w:t>
      </w:r>
      <w:r>
        <w:rPr>
          <w:spacing w:val="-5"/>
          <w:sz w:val="32"/>
        </w:rPr>
        <w:t> </w:t>
      </w:r>
      <w:r>
        <w:rPr>
          <w:sz w:val="32"/>
        </w:rPr>
        <w:t>on</w:t>
      </w:r>
      <w:r>
        <w:rPr>
          <w:spacing w:val="-5"/>
          <w:sz w:val="32"/>
        </w:rPr>
        <w:t> </w:t>
      </w:r>
      <w:r>
        <w:rPr>
          <w:sz w:val="32"/>
        </w:rPr>
        <w:t>Projected</w:t>
      </w:r>
      <w:r>
        <w:rPr>
          <w:spacing w:val="-5"/>
          <w:sz w:val="32"/>
        </w:rPr>
        <w:t> </w:t>
      </w:r>
      <w:r>
        <w:rPr>
          <w:sz w:val="32"/>
        </w:rPr>
        <w:t>2020-2021</w:t>
      </w:r>
      <w:r>
        <w:rPr>
          <w:spacing w:val="-21"/>
          <w:sz w:val="32"/>
        </w:rPr>
        <w:t> </w:t>
      </w:r>
      <w:r>
        <w:rPr>
          <w:sz w:val="32"/>
        </w:rPr>
        <w:t>ADA</w:t>
      </w:r>
      <w:r>
        <w:rPr>
          <w:spacing w:val="-22"/>
          <w:sz w:val="32"/>
        </w:rPr>
        <w:t> </w:t>
      </w:r>
      <w:r>
        <w:rPr>
          <w:sz w:val="32"/>
        </w:rPr>
        <w:t>of</w:t>
      </w:r>
      <w:r>
        <w:rPr>
          <w:spacing w:val="-5"/>
          <w:sz w:val="32"/>
        </w:rPr>
        <w:t> 115.37</w:t>
      </w:r>
      <w:r>
        <w:rPr>
          <w:spacing w:val="-4"/>
          <w:sz w:val="32"/>
        </w:rPr>
        <w:t> </w:t>
      </w:r>
      <w:r>
        <w:rPr>
          <w:sz w:val="32"/>
        </w:rPr>
        <w:t>(which</w:t>
      </w:r>
      <w:r>
        <w:rPr>
          <w:spacing w:val="-5"/>
          <w:sz w:val="32"/>
        </w:rPr>
        <w:t> </w:t>
      </w:r>
      <w:r>
        <w:rPr>
          <w:sz w:val="32"/>
        </w:rPr>
        <w:t>includes</w:t>
      </w:r>
      <w:r>
        <w:rPr>
          <w:spacing w:val="-5"/>
          <w:sz w:val="32"/>
        </w:rPr>
        <w:t> </w:t>
      </w:r>
      <w:r>
        <w:rPr>
          <w:sz w:val="32"/>
        </w:rPr>
        <w:t>1.84</w:t>
      </w:r>
      <w:r>
        <w:rPr>
          <w:spacing w:val="-5"/>
          <w:sz w:val="32"/>
        </w:rPr>
        <w:t> </w:t>
      </w:r>
      <w:r>
        <w:rPr>
          <w:sz w:val="32"/>
        </w:rPr>
        <w:t>County Operated</w:t>
      </w:r>
      <w:r>
        <w:rPr>
          <w:spacing w:val="-20"/>
          <w:sz w:val="32"/>
        </w:rPr>
        <w:t> </w:t>
      </w:r>
      <w:r>
        <w:rPr>
          <w:sz w:val="32"/>
        </w:rPr>
        <w:t>ADA)</w:t>
      </w:r>
    </w:p>
    <w:p>
      <w:pPr>
        <w:pStyle w:val="ListParagraph"/>
        <w:numPr>
          <w:ilvl w:val="0"/>
          <w:numId w:val="2"/>
        </w:numPr>
        <w:tabs>
          <w:tab w:pos="1574" w:val="left" w:leader="none"/>
          <w:tab w:pos="1575" w:val="left" w:leader="none"/>
        </w:tabs>
        <w:spacing w:line="240" w:lineRule="auto" w:before="119" w:after="0"/>
        <w:ind w:left="1575" w:right="0" w:hanging="673"/>
        <w:jc w:val="left"/>
        <w:rPr>
          <w:sz w:val="32"/>
        </w:rPr>
      </w:pPr>
      <w:r>
        <w:rPr>
          <w:sz w:val="32"/>
        </w:rPr>
        <w:t>Property </w:t>
      </w:r>
      <w:r>
        <w:rPr>
          <w:spacing w:val="-8"/>
          <w:sz w:val="32"/>
        </w:rPr>
        <w:t>Taxes </w:t>
      </w:r>
      <w:r>
        <w:rPr>
          <w:sz w:val="32"/>
        </w:rPr>
        <w:t>= $833,566– $759,949 In-Lieu =</w:t>
      </w:r>
      <w:r>
        <w:rPr>
          <w:spacing w:val="3"/>
          <w:sz w:val="32"/>
        </w:rPr>
        <w:t> </w:t>
      </w:r>
      <w:r>
        <w:rPr>
          <w:sz w:val="32"/>
          <w:u w:val="thick"/>
        </w:rPr>
        <w:t>$73,617</w:t>
      </w:r>
    </w:p>
    <w:p>
      <w:pPr>
        <w:pStyle w:val="ListParagraph"/>
        <w:numPr>
          <w:ilvl w:val="0"/>
          <w:numId w:val="2"/>
        </w:numPr>
        <w:tabs>
          <w:tab w:pos="1574" w:val="left" w:leader="none"/>
          <w:tab w:pos="1575" w:val="left" w:leader="none"/>
        </w:tabs>
        <w:spacing w:line="240" w:lineRule="auto" w:before="142" w:after="0"/>
        <w:ind w:left="1575" w:right="0" w:hanging="673"/>
        <w:jc w:val="left"/>
        <w:rPr>
          <w:sz w:val="32"/>
        </w:rPr>
      </w:pPr>
      <w:r>
        <w:rPr>
          <w:sz w:val="32"/>
        </w:rPr>
        <w:t>State Aid =</w:t>
      </w:r>
      <w:r>
        <w:rPr>
          <w:spacing w:val="-22"/>
          <w:sz w:val="32"/>
        </w:rPr>
        <w:t> </w:t>
      </w:r>
      <w:r>
        <w:rPr>
          <w:sz w:val="32"/>
        </w:rPr>
        <w:t>$940,253</w:t>
      </w:r>
    </w:p>
    <w:p>
      <w:pPr>
        <w:pStyle w:val="BodyText"/>
        <w:spacing w:before="4"/>
        <w:rPr>
          <w:sz w:val="49"/>
        </w:rPr>
      </w:pPr>
    </w:p>
    <w:p>
      <w:pPr>
        <w:spacing w:before="0"/>
        <w:ind w:left="855" w:right="0" w:firstLine="0"/>
        <w:jc w:val="left"/>
        <w:rPr>
          <w:b/>
          <w:i/>
          <w:sz w:val="32"/>
        </w:rPr>
      </w:pPr>
      <w:r>
        <w:rPr>
          <w:b/>
          <w:i/>
          <w:sz w:val="32"/>
          <w:u w:val="thick"/>
        </w:rPr>
        <w:t>Other State and Federal Funding</w:t>
      </w:r>
    </w:p>
    <w:p>
      <w:pPr>
        <w:pStyle w:val="ListParagraph"/>
        <w:numPr>
          <w:ilvl w:val="1"/>
          <w:numId w:val="2"/>
        </w:numPr>
        <w:tabs>
          <w:tab w:pos="1395" w:val="left" w:leader="none"/>
        </w:tabs>
        <w:spacing w:line="240" w:lineRule="auto" w:before="137" w:after="0"/>
        <w:ind w:left="1395" w:right="0" w:hanging="313"/>
        <w:jc w:val="left"/>
        <w:rPr>
          <w:sz w:val="32"/>
        </w:rPr>
      </w:pPr>
      <w:r>
        <w:rPr>
          <w:sz w:val="32"/>
        </w:rPr>
        <w:t>Unrestricted Lottery = $153 per Annual</w:t>
      </w:r>
      <w:r>
        <w:rPr>
          <w:spacing w:val="-44"/>
          <w:sz w:val="32"/>
        </w:rPr>
        <w:t> </w:t>
      </w:r>
      <w:r>
        <w:rPr>
          <w:sz w:val="32"/>
        </w:rPr>
        <w:t>ADA</w:t>
      </w:r>
    </w:p>
    <w:p>
      <w:pPr>
        <w:pStyle w:val="ListParagraph"/>
        <w:numPr>
          <w:ilvl w:val="1"/>
          <w:numId w:val="2"/>
        </w:numPr>
        <w:tabs>
          <w:tab w:pos="1395" w:val="left" w:leader="none"/>
        </w:tabs>
        <w:spacing w:line="240" w:lineRule="auto" w:before="142" w:after="0"/>
        <w:ind w:left="1395" w:right="0" w:hanging="313"/>
        <w:jc w:val="left"/>
        <w:rPr>
          <w:sz w:val="32"/>
        </w:rPr>
      </w:pPr>
      <w:r>
        <w:rPr>
          <w:sz w:val="32"/>
        </w:rPr>
        <w:t>Restricted Lottery = $54 per Annual</w:t>
      </w:r>
      <w:r>
        <w:rPr>
          <w:spacing w:val="-43"/>
          <w:sz w:val="32"/>
        </w:rPr>
        <w:t> </w:t>
      </w:r>
      <w:r>
        <w:rPr>
          <w:sz w:val="32"/>
        </w:rPr>
        <w:t>ADA</w:t>
      </w:r>
    </w:p>
    <w:p>
      <w:pPr>
        <w:pStyle w:val="ListParagraph"/>
        <w:numPr>
          <w:ilvl w:val="1"/>
          <w:numId w:val="2"/>
        </w:numPr>
        <w:tabs>
          <w:tab w:pos="1395" w:val="left" w:leader="none"/>
        </w:tabs>
        <w:spacing w:line="240" w:lineRule="auto" w:before="142" w:after="0"/>
        <w:ind w:left="1395" w:right="0" w:hanging="313"/>
        <w:jc w:val="left"/>
        <w:rPr>
          <w:sz w:val="32"/>
        </w:rPr>
      </w:pPr>
      <w:r>
        <w:rPr>
          <w:sz w:val="32"/>
        </w:rPr>
        <w:t>Federal No Child Left Behind </w:t>
      </w:r>
      <w:r>
        <w:rPr>
          <w:spacing w:val="-3"/>
          <w:sz w:val="32"/>
        </w:rPr>
        <w:t>(Title </w:t>
      </w:r>
      <w:r>
        <w:rPr>
          <w:sz w:val="32"/>
        </w:rPr>
        <w:t>I $19,632 &amp; </w:t>
      </w:r>
      <w:r>
        <w:rPr>
          <w:spacing w:val="-4"/>
          <w:sz w:val="32"/>
        </w:rPr>
        <w:t>Title </w:t>
      </w:r>
      <w:r>
        <w:rPr>
          <w:sz w:val="32"/>
        </w:rPr>
        <w:t>II</w:t>
      </w:r>
      <w:r>
        <w:rPr>
          <w:spacing w:val="-15"/>
          <w:sz w:val="32"/>
        </w:rPr>
        <w:t> </w:t>
      </w:r>
      <w:r>
        <w:rPr>
          <w:sz w:val="32"/>
        </w:rPr>
        <w:t>$1,934)</w:t>
      </w:r>
    </w:p>
    <w:p>
      <w:pPr>
        <w:pStyle w:val="ListParagraph"/>
        <w:numPr>
          <w:ilvl w:val="1"/>
          <w:numId w:val="2"/>
        </w:numPr>
        <w:tabs>
          <w:tab w:pos="1395" w:val="left" w:leader="none"/>
        </w:tabs>
        <w:spacing w:line="240" w:lineRule="auto" w:before="142" w:after="0"/>
        <w:ind w:left="1395" w:right="0" w:hanging="313"/>
        <w:jc w:val="left"/>
        <w:rPr>
          <w:sz w:val="32"/>
        </w:rPr>
      </w:pPr>
      <w:r>
        <w:rPr>
          <w:sz w:val="32"/>
        </w:rPr>
        <w:t>REAP funding is projected at</w:t>
      </w:r>
      <w:r>
        <w:rPr>
          <w:spacing w:val="-13"/>
          <w:sz w:val="32"/>
        </w:rPr>
        <w:t> </w:t>
      </w:r>
      <w:r>
        <w:rPr>
          <w:sz w:val="32"/>
        </w:rPr>
        <w:t>$23,092</w:t>
      </w:r>
    </w:p>
    <w:p>
      <w:pPr>
        <w:spacing w:after="0" w:line="240" w:lineRule="auto"/>
        <w:jc w:val="left"/>
        <w:rPr>
          <w:sz w:val="32"/>
        </w:rPr>
        <w:sectPr>
          <w:pgSz w:w="14400" w:h="9360" w:orient="landscape"/>
          <w:pgMar w:top="0" w:bottom="0" w:left="0" w:right="0"/>
        </w:sectPr>
      </w:pPr>
    </w:p>
    <w:p>
      <w:pPr>
        <w:pStyle w:val="BodyText"/>
        <w:spacing w:before="4"/>
        <w:rPr>
          <w:sz w:val="25"/>
        </w:rPr>
      </w:pPr>
      <w:r>
        <w:rPr/>
        <w:pict>
          <v:group style="position:absolute;margin-left:666pt;margin-top:0pt;width:54pt;height:468pt;mso-position-horizontal-relative:page;mso-position-vertical-relative:page;z-index:251667456" coordorigin="13320,0" coordsize="1080,9360">
            <v:shape style="position:absolute;left:13319;top:0;width:1080;height:9360" coordorigin="13320,0" coordsize="1080,9360" path="m14400,8424l13320,8424,13320,9360,14400,9360,14400,8424m14400,0l13320,0,13320,7488,14400,7488,14400,0e" filled="true" fillcolor="#464646" stroked="false">
              <v:path arrowok="t"/>
              <v:fill type="solid"/>
            </v:shape>
            <v:rect style="position:absolute;left:13320;top:7488;width:1080;height:936" filled="true" fillcolor="#2da2be" stroked="false">
              <v:fill type="solid"/>
            </v:rect>
            <v:shape style="position:absolute;left:6825430;top:-4181979;width:438912;height:274726" coordorigin="6825431,-4181978" coordsize="438912,274726" path="m13526,8251l13491,8243,13462,8224,13443,8195,13436,8160,13436,7800,13436,7800,13443,7765,13462,7736,13491,7717,13526,7710m14210,7710l14227,7711,14244,7717,14260,7725,14274,7736,14285,7750,14293,7765,14298,7782,14300,7800,14300,8160,14293,8195,14274,8224,14245,8243,14210,8251e" filled="false" stroked="true" strokeweight="1.5pt" strokecolor="#ffffff">
              <v:path arrowok="t"/>
              <v:stroke dashstyle="solid"/>
            </v:shape>
            <v:shape style="position:absolute;left:13320;top:7488;width:1080;height:936" type="#_x0000_t202" filled="false" stroked="false">
              <v:textbox inset="0,0,0,0">
                <w:txbxContent>
                  <w:p>
                    <w:pPr>
                      <w:spacing w:before="282"/>
                      <w:ind w:left="15" w:right="0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before="84"/>
        <w:ind w:left="1019" w:right="0" w:firstLine="0"/>
        <w:jc w:val="left"/>
        <w:rPr>
          <w:b/>
          <w:sz w:val="50"/>
        </w:rPr>
      </w:pPr>
      <w:r>
        <w:rPr>
          <w:b/>
          <w:color w:val="002060"/>
          <w:sz w:val="50"/>
        </w:rPr>
        <w:t>Eight State Priorities</w:t>
      </w:r>
    </w:p>
    <w:p>
      <w:pPr>
        <w:spacing w:before="25"/>
        <w:ind w:left="1019" w:right="0" w:firstLine="0"/>
        <w:jc w:val="left"/>
        <w:rPr>
          <w:b/>
          <w:sz w:val="50"/>
        </w:rPr>
      </w:pPr>
      <w:r>
        <w:rPr>
          <w:b/>
          <w:color w:val="002060"/>
          <w:sz w:val="50"/>
        </w:rPr>
        <w:t>2020-2021 ADOPTED BUDGET REPORT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561563</wp:posOffset>
            </wp:positionH>
            <wp:positionV relativeFrom="paragraph">
              <wp:posOffset>186587</wp:posOffset>
            </wp:positionV>
            <wp:extent cx="6890806" cy="3859815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0806" cy="385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55"/>
        <w:ind w:left="0" w:right="1663" w:firstLine="0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Schools Services of California</w:t>
      </w:r>
    </w:p>
    <w:p>
      <w:pPr>
        <w:spacing w:after="0"/>
        <w:jc w:val="right"/>
        <w:rPr>
          <w:rFonts w:ascii="Times New Roman"/>
          <w:sz w:val="20"/>
        </w:rPr>
        <w:sectPr>
          <w:pgSz w:w="14400" w:h="9360" w:orient="landscape"/>
          <w:pgMar w:top="0" w:bottom="0" w:left="0" w:right="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666pt;margin-top:0pt;width:54pt;height:468pt;mso-position-horizontal-relative:page;mso-position-vertical-relative:page;z-index:251669504" coordorigin="13320,0" coordsize="1080,9360">
            <v:shape style="position:absolute;left:13319;top:0;width:1080;height:9360" coordorigin="13320,0" coordsize="1080,9360" path="m14400,8424l13320,8424,13320,9360,14400,9360,14400,8424m14400,0l13320,0,13320,7488,14400,7488,14400,0e" filled="true" fillcolor="#464646" stroked="false">
              <v:path arrowok="t"/>
              <v:fill type="solid"/>
            </v:shape>
            <v:rect style="position:absolute;left:13320;top:7488;width:1080;height:936" filled="true" fillcolor="#2da2be" stroked="false">
              <v:fill type="solid"/>
            </v:rect>
            <v:shape style="position:absolute;left:6781801;top:-4208406;width:457200;height:316230" coordorigin="6781802,-4208406" coordsize="457200,316230" path="m13454,8303l13413,8295,13380,8272,13358,8239,13350,8199,13350,7784,13350,7784,13358,7744,13380,7711,13413,7688,13454,7680m14146,7680l14166,7682,14186,7688,14204,7698,14219,7711,14232,7726,14242,7744,14248,7764,14250,7784,14250,8199,14242,8239,14219,8272,14187,8295,14146,8303e" filled="false" stroked="true" strokeweight="1.5pt" strokecolor="#ffffff">
              <v:path arrowok="t"/>
              <v:stroke dashstyle="solid"/>
            </v:shape>
            <v:shape style="position:absolute;left:13320;top:7488;width:1080;height:936" type="#_x0000_t202" filled="false" stroked="false">
              <v:textbox inset="0,0,0,0">
                <w:txbxContent>
                  <w:p>
                    <w:pPr>
                      <w:spacing w:before="294"/>
                      <w:ind w:left="0" w:right="119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6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line="249" w:lineRule="auto" w:before="203"/>
        <w:ind w:left="3353" w:right="3548"/>
      </w:pPr>
      <w:r>
        <w:rPr>
          <w:color w:val="DA1F28"/>
        </w:rPr>
        <w:t>Winship-Robbins Elementary School District GENERAL FUND REVENUE SOURCES</w:t>
      </w:r>
    </w:p>
    <w:p>
      <w:pPr>
        <w:spacing w:line="375" w:lineRule="exact" w:before="0"/>
        <w:ind w:left="1963" w:right="2153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color w:val="DA1F28"/>
          <w:sz w:val="32"/>
        </w:rPr>
        <w:t>2020-2021 Adopted Budget</w:t>
      </w:r>
      <w:r>
        <w:rPr>
          <w:rFonts w:ascii="Cambria"/>
          <w:b/>
          <w:color w:val="DA1F28"/>
          <w:spacing w:val="64"/>
          <w:sz w:val="32"/>
        </w:rPr>
        <w:t> </w:t>
      </w:r>
      <w:r>
        <w:rPr>
          <w:rFonts w:ascii="Cambria"/>
          <w:b/>
          <w:color w:val="DA1F28"/>
          <w:sz w:val="32"/>
        </w:rPr>
        <w:t>Report</w:t>
      </w:r>
    </w:p>
    <w:p>
      <w:pPr>
        <w:pStyle w:val="BodyText"/>
        <w:rPr>
          <w:rFonts w:ascii="Cambria"/>
          <w:b/>
          <w:sz w:val="20"/>
        </w:rPr>
      </w:pPr>
    </w:p>
    <w:p>
      <w:pPr>
        <w:spacing w:line="244" w:lineRule="auto" w:before="215"/>
        <w:ind w:left="7131" w:right="1370" w:firstLine="0"/>
        <w:jc w:val="left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251670528">
            <wp:simplePos x="0" y="0"/>
            <wp:positionH relativeFrom="page">
              <wp:posOffset>819150</wp:posOffset>
            </wp:positionH>
            <wp:positionV relativeFrom="paragraph">
              <wp:posOffset>111923</wp:posOffset>
            </wp:positionV>
            <wp:extent cx="3056108" cy="1275482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6108" cy="1275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The largest part of the revenue (65%) comes from Local Control Funding and is to be aligned to meet the eight state priorities. These priorities are on the previous slide.</w:t>
      </w:r>
    </w:p>
    <w:p>
      <w:pPr>
        <w:pStyle w:val="BodyText"/>
        <w:spacing w:before="3"/>
        <w:rPr>
          <w:sz w:val="29"/>
        </w:rPr>
      </w:pPr>
    </w:p>
    <w:p>
      <w:pPr>
        <w:spacing w:line="244" w:lineRule="auto" w:before="0"/>
        <w:ind w:left="7131" w:right="1406" w:firstLine="0"/>
        <w:jc w:val="left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251671552">
            <wp:simplePos x="0" y="0"/>
            <wp:positionH relativeFrom="page">
              <wp:posOffset>521674</wp:posOffset>
            </wp:positionH>
            <wp:positionV relativeFrom="paragraph">
              <wp:posOffset>480393</wp:posOffset>
            </wp:positionV>
            <wp:extent cx="3651058" cy="2517971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058" cy="2517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The district will continue to receive federal funds for specific purposes and must continue to follow federal regulations.</w:t>
      </w:r>
    </w:p>
    <w:p>
      <w:pPr>
        <w:pStyle w:val="BodyText"/>
        <w:spacing w:before="1"/>
        <w:rPr>
          <w:sz w:val="29"/>
        </w:rPr>
      </w:pPr>
    </w:p>
    <w:p>
      <w:pPr>
        <w:spacing w:line="244" w:lineRule="auto" w:before="0"/>
        <w:ind w:left="7131" w:right="1957" w:firstLine="0"/>
        <w:jc w:val="left"/>
        <w:rPr>
          <w:sz w:val="28"/>
        </w:rPr>
      </w:pPr>
      <w:r>
        <w:rPr>
          <w:sz w:val="28"/>
        </w:rPr>
        <w:t>Other state funds consist of child nutrition, mandated costs, lottery and miscellaneous other awards.</w:t>
      </w:r>
    </w:p>
    <w:p>
      <w:pPr>
        <w:pStyle w:val="BodyText"/>
        <w:spacing w:before="2"/>
        <w:rPr>
          <w:sz w:val="29"/>
        </w:rPr>
      </w:pPr>
    </w:p>
    <w:p>
      <w:pPr>
        <w:spacing w:line="244" w:lineRule="auto" w:before="0"/>
        <w:ind w:left="7131" w:right="1370" w:firstLine="0"/>
        <w:jc w:val="left"/>
        <w:rPr>
          <w:sz w:val="28"/>
        </w:rPr>
      </w:pPr>
      <w:r>
        <w:rPr>
          <w:sz w:val="28"/>
        </w:rPr>
        <w:t>Local resources include interest, donations, local grants, special education funds, and charter fiscal oversight fees.</w:t>
      </w:r>
    </w:p>
    <w:p>
      <w:pPr>
        <w:spacing w:after="0" w:line="244" w:lineRule="auto"/>
        <w:jc w:val="left"/>
        <w:rPr>
          <w:sz w:val="28"/>
        </w:rPr>
        <w:sectPr>
          <w:pgSz w:w="14400" w:h="9360" w:orient="landscape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666pt;margin-top:0pt;width:54pt;height:468pt;mso-position-horizontal-relative:page;mso-position-vertical-relative:page;z-index:251673600" coordorigin="13320,0" coordsize="1080,9360">
            <v:shape style="position:absolute;left:13319;top:0;width:1080;height:9360" coordorigin="13320,0" coordsize="1080,9360" path="m14400,8424l13320,8424,13320,9360,14400,9360,14400,8424m14400,0l13320,0,13320,7488,14400,7488,14400,0e" filled="true" fillcolor="#464646" stroked="false">
              <v:path arrowok="t"/>
              <v:fill type="solid"/>
            </v:shape>
            <v:rect style="position:absolute;left:13320;top:7488;width:1080;height:936" filled="true" fillcolor="#2da2be" stroked="false">
              <v:fill type="solid"/>
            </v:rect>
            <v:shape style="position:absolute;left:6918960;top:-4253840;width:330200;height:316230" coordorigin="6918960,-4253839" coordsize="330200,316230" path="m13724,8392l13724,8392,13683,8384,13650,8362,13628,8329,13620,8288,13620,7873,13620,7873,13628,7833,13650,7800,13683,7778,13724,7770m14166,7770l14166,7770,14187,7772,14206,7778,14224,7787,14240,7800,14253,7816,14262,7834,14268,7853,14270,7873,14270,8288,14262,8329,14240,8362,14207,8384,14166,8392e" filled="false" stroked="true" strokeweight="1.5pt" strokecolor="#ffffff">
              <v:path arrowok="t"/>
              <v:stroke dashstyle="solid"/>
            </v:shape>
            <v:shape style="position:absolute;left:13320;top:7488;width:1080;height:936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33"/>
                      </w:rPr>
                    </w:pPr>
                  </w:p>
                  <w:p>
                    <w:pPr>
                      <w:spacing w:before="1"/>
                      <w:ind w:left="524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8"/>
        <w:rPr>
          <w:sz w:val="21"/>
        </w:rPr>
      </w:pPr>
    </w:p>
    <w:p>
      <w:pPr>
        <w:spacing w:line="249" w:lineRule="auto" w:before="46"/>
        <w:ind w:left="2835" w:right="3952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color w:val="DA1F28"/>
          <w:sz w:val="32"/>
        </w:rPr>
        <w:t>Winship-Robbins Elementary School District GENERAL FUND REVENUE SOURCES</w:t>
      </w:r>
    </w:p>
    <w:p>
      <w:pPr>
        <w:spacing w:line="375" w:lineRule="exact" w:before="0"/>
        <w:ind w:left="1041" w:right="2153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color w:val="DA1F28"/>
          <w:sz w:val="32"/>
        </w:rPr>
        <w:t>2020-2021 Adopted Budget</w:t>
      </w:r>
      <w:r>
        <w:rPr>
          <w:rFonts w:ascii="Cambria"/>
          <w:b/>
          <w:color w:val="DA1F28"/>
          <w:spacing w:val="64"/>
          <w:sz w:val="32"/>
        </w:rPr>
        <w:t> </w:t>
      </w:r>
      <w:r>
        <w:rPr>
          <w:rFonts w:ascii="Cambria"/>
          <w:b/>
          <w:color w:val="DA1F28"/>
          <w:sz w:val="32"/>
        </w:rPr>
        <w:t>Report</w:t>
      </w:r>
    </w:p>
    <w:p>
      <w:pPr>
        <w:pStyle w:val="BodyText"/>
        <w:rPr>
          <w:rFonts w:ascii="Cambria"/>
          <w:b/>
          <w:sz w:val="20"/>
        </w:rPr>
      </w:pPr>
    </w:p>
    <w:p>
      <w:pPr>
        <w:spacing w:before="255"/>
        <w:ind w:left="720" w:right="0" w:firstLine="0"/>
        <w:jc w:val="both"/>
        <w:rPr>
          <w:b/>
          <w:sz w:val="28"/>
        </w:rPr>
      </w:pPr>
      <w:r>
        <w:rPr>
          <w:b/>
          <w:sz w:val="28"/>
          <w:u w:val="thick"/>
        </w:rPr>
        <w:t>Local Control Funding Formula $1,179,548</w:t>
      </w:r>
    </w:p>
    <w:p>
      <w:pPr>
        <w:spacing w:line="247" w:lineRule="auto" w:before="64"/>
        <w:ind w:left="720" w:right="2132" w:firstLine="0"/>
        <w:jc w:val="both"/>
        <w:rPr>
          <w:sz w:val="28"/>
        </w:rPr>
      </w:pPr>
      <w:r>
        <w:rPr>
          <w:sz w:val="28"/>
        </w:rPr>
        <w:t>This budget source is based on 20/21 projected ADA of </w:t>
      </w:r>
      <w:r>
        <w:rPr>
          <w:spacing w:val="-5"/>
          <w:sz w:val="28"/>
        </w:rPr>
        <w:t>113.57 </w:t>
      </w:r>
      <w:r>
        <w:rPr>
          <w:sz w:val="28"/>
        </w:rPr>
        <w:t>plus 1.84 of County Operated ADA.</w:t>
      </w:r>
      <w:r>
        <w:rPr>
          <w:spacing w:val="-9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LCFF</w:t>
      </w:r>
      <w:r>
        <w:rPr>
          <w:spacing w:val="-3"/>
          <w:sz w:val="28"/>
        </w:rPr>
        <w:t> </w:t>
      </w:r>
      <w:r>
        <w:rPr>
          <w:sz w:val="28"/>
        </w:rPr>
        <w:t>calculator</w:t>
      </w:r>
      <w:r>
        <w:rPr>
          <w:spacing w:val="-4"/>
          <w:sz w:val="28"/>
        </w:rPr>
        <w:t> </w:t>
      </w:r>
      <w:r>
        <w:rPr>
          <w:sz w:val="28"/>
        </w:rPr>
        <w:t>reflects</w:t>
      </w:r>
      <w:r>
        <w:rPr>
          <w:spacing w:val="-4"/>
          <w:sz w:val="28"/>
        </w:rPr>
        <w:t> </w:t>
      </w:r>
      <w:r>
        <w:rPr>
          <w:sz w:val="28"/>
        </w:rPr>
        <w:t>a</w:t>
      </w:r>
      <w:r>
        <w:rPr>
          <w:spacing w:val="-3"/>
          <w:sz w:val="28"/>
        </w:rPr>
        <w:t> </w:t>
      </w:r>
      <w:r>
        <w:rPr>
          <w:sz w:val="28"/>
        </w:rPr>
        <w:t>0%</w:t>
      </w:r>
      <w:r>
        <w:rPr>
          <w:spacing w:val="-4"/>
          <w:sz w:val="28"/>
        </w:rPr>
        <w:t> </w:t>
      </w:r>
      <w:r>
        <w:rPr>
          <w:sz w:val="28"/>
        </w:rPr>
        <w:t>COLA</w:t>
      </w:r>
      <w:r>
        <w:rPr>
          <w:spacing w:val="-18"/>
          <w:sz w:val="28"/>
        </w:rPr>
        <w:t> </w:t>
      </w:r>
      <w:r>
        <w:rPr>
          <w:sz w:val="28"/>
        </w:rPr>
        <w:t>and</w:t>
      </w:r>
      <w:r>
        <w:rPr>
          <w:spacing w:val="-4"/>
          <w:sz w:val="28"/>
        </w:rPr>
        <w:t> </w:t>
      </w:r>
      <w:r>
        <w:rPr>
          <w:sz w:val="28"/>
        </w:rPr>
        <w:t>a</w:t>
      </w:r>
      <w:r>
        <w:rPr>
          <w:spacing w:val="-4"/>
          <w:sz w:val="28"/>
        </w:rPr>
        <w:t> </w:t>
      </w:r>
      <w:r>
        <w:rPr>
          <w:sz w:val="28"/>
        </w:rPr>
        <w:t>7.92%</w:t>
      </w:r>
      <w:r>
        <w:rPr>
          <w:spacing w:val="-3"/>
          <w:sz w:val="28"/>
        </w:rPr>
        <w:t> </w:t>
      </w:r>
      <w:r>
        <w:rPr>
          <w:sz w:val="28"/>
        </w:rPr>
        <w:t>decrease</w:t>
      </w:r>
      <w:r>
        <w:rPr>
          <w:spacing w:val="-4"/>
          <w:sz w:val="28"/>
        </w:rPr>
        <w:t> </w:t>
      </w:r>
      <w:r>
        <w:rPr>
          <w:sz w:val="28"/>
        </w:rPr>
        <w:t>in</w:t>
      </w:r>
      <w:r>
        <w:rPr>
          <w:spacing w:val="-4"/>
          <w:sz w:val="28"/>
        </w:rPr>
        <w:t> </w:t>
      </w:r>
      <w:r>
        <w:rPr>
          <w:sz w:val="28"/>
        </w:rPr>
        <w:t>base</w:t>
      </w:r>
      <w:r>
        <w:rPr>
          <w:spacing w:val="-3"/>
          <w:sz w:val="28"/>
        </w:rPr>
        <w:t> </w:t>
      </w:r>
      <w:r>
        <w:rPr>
          <w:sz w:val="28"/>
        </w:rPr>
        <w:t>funding,</w:t>
      </w:r>
      <w:r>
        <w:rPr>
          <w:spacing w:val="-4"/>
          <w:sz w:val="28"/>
        </w:rPr>
        <w:t> </w:t>
      </w:r>
      <w:r>
        <w:rPr>
          <w:sz w:val="28"/>
        </w:rPr>
        <w:t>based on the Governor’s May</w:t>
      </w:r>
      <w:r>
        <w:rPr>
          <w:spacing w:val="-5"/>
          <w:sz w:val="28"/>
        </w:rPr>
        <w:t> </w:t>
      </w:r>
      <w:r>
        <w:rPr>
          <w:sz w:val="28"/>
        </w:rPr>
        <w:t>Revision.</w:t>
      </w:r>
    </w:p>
    <w:p>
      <w:pPr>
        <w:pStyle w:val="BodyText"/>
        <w:spacing w:before="7"/>
        <w:rPr>
          <w:sz w:val="28"/>
        </w:rPr>
      </w:pPr>
    </w:p>
    <w:p>
      <w:pPr>
        <w:spacing w:before="1"/>
        <w:ind w:left="720" w:right="0" w:firstLine="0"/>
        <w:jc w:val="both"/>
        <w:rPr>
          <w:b/>
          <w:sz w:val="28"/>
        </w:rPr>
      </w:pPr>
      <w:r>
        <w:rPr>
          <w:b/>
          <w:sz w:val="28"/>
          <w:u w:val="thick"/>
        </w:rPr>
        <w:t>Federal Revenues $125,326</w:t>
      </w:r>
    </w:p>
    <w:p>
      <w:pPr>
        <w:spacing w:before="8"/>
        <w:ind w:left="720" w:right="0" w:firstLine="0"/>
        <w:jc w:val="left"/>
        <w:rPr>
          <w:sz w:val="28"/>
        </w:rPr>
      </w:pPr>
      <w:r>
        <w:rPr>
          <w:sz w:val="28"/>
        </w:rPr>
        <w:t>This revenue source includes Title I, Title II, REAP, and Child Nutrition funding.</w:t>
      </w:r>
    </w:p>
    <w:p>
      <w:pPr>
        <w:pStyle w:val="BodyText"/>
        <w:spacing w:before="4"/>
        <w:rPr>
          <w:sz w:val="29"/>
        </w:rPr>
      </w:pPr>
    </w:p>
    <w:p>
      <w:pPr>
        <w:spacing w:before="0"/>
        <w:ind w:left="720" w:right="0" w:firstLine="0"/>
        <w:jc w:val="left"/>
        <w:rPr>
          <w:b/>
          <w:sz w:val="28"/>
        </w:rPr>
      </w:pPr>
      <w:r>
        <w:rPr>
          <w:b/>
          <w:sz w:val="28"/>
          <w:u w:val="thick"/>
        </w:rPr>
        <w:t>Other State Revenues $125,455</w:t>
      </w:r>
    </w:p>
    <w:p>
      <w:pPr>
        <w:spacing w:before="8"/>
        <w:ind w:left="720" w:right="0" w:firstLine="0"/>
        <w:jc w:val="left"/>
        <w:rPr>
          <w:sz w:val="28"/>
        </w:rPr>
      </w:pPr>
      <w:r>
        <w:rPr>
          <w:sz w:val="28"/>
        </w:rPr>
        <w:t>This revenue includes Unrestricted and Restricted Lottery, Mandated Costs, and Child Nutrition.</w:t>
      </w:r>
    </w:p>
    <w:p>
      <w:pPr>
        <w:pStyle w:val="BodyText"/>
        <w:spacing w:before="5"/>
        <w:rPr>
          <w:sz w:val="29"/>
        </w:rPr>
      </w:pPr>
    </w:p>
    <w:p>
      <w:pPr>
        <w:spacing w:before="0"/>
        <w:ind w:left="720" w:right="0" w:firstLine="0"/>
        <w:jc w:val="left"/>
        <w:rPr>
          <w:b/>
          <w:sz w:val="28"/>
        </w:rPr>
      </w:pPr>
      <w:r>
        <w:rPr>
          <w:b/>
          <w:sz w:val="28"/>
          <w:u w:val="thick"/>
        </w:rPr>
        <w:t>Other Local Revenue</w:t>
      </w:r>
      <w:r>
        <w:rPr>
          <w:b/>
          <w:sz w:val="28"/>
        </w:rPr>
        <w:t> </w:t>
      </w:r>
      <w:r>
        <w:rPr>
          <w:b/>
          <w:sz w:val="28"/>
          <w:u w:val="thick"/>
        </w:rPr>
        <w:t>$371,762</w:t>
      </w:r>
    </w:p>
    <w:p>
      <w:pPr>
        <w:spacing w:line="244" w:lineRule="auto" w:before="8"/>
        <w:ind w:left="720" w:right="1957" w:firstLine="0"/>
        <w:jc w:val="left"/>
        <w:rPr>
          <w:sz w:val="28"/>
        </w:rPr>
      </w:pPr>
      <w:r>
        <w:rPr>
          <w:sz w:val="28"/>
        </w:rPr>
        <w:t>This revenue includes Interest, Rental Income, and Charter Fiscal Oversight revenue. There is a reduction of $55,000 primarily due to the removal of one-time funds received by the charter for an indemnification clause in their MOU for 19/20.</w:t>
      </w:r>
    </w:p>
    <w:p>
      <w:pPr>
        <w:spacing w:after="0" w:line="244" w:lineRule="auto"/>
        <w:jc w:val="left"/>
        <w:rPr>
          <w:sz w:val="28"/>
        </w:rPr>
        <w:sectPr>
          <w:pgSz w:w="14400" w:h="9360" w:orient="landscape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666pt;margin-top:0pt;width:54pt;height:468pt;mso-position-horizontal-relative:page;mso-position-vertical-relative:page;z-index:251675648" coordorigin="13320,0" coordsize="1080,9360">
            <v:shape style="position:absolute;left:13319;top:0;width:1080;height:9360" coordorigin="13320,0" coordsize="1080,9360" path="m14400,8424l13320,8424,13320,9360,14400,9360,14400,8424m14400,0l13320,0,13320,7488,14400,7488,14400,0e" filled="true" fillcolor="#464646" stroked="false">
              <v:path arrowok="t"/>
              <v:fill type="solid"/>
            </v:shape>
            <v:rect style="position:absolute;left:13320;top:7488;width:1080;height:936" filled="true" fillcolor="#2da2be" stroked="false">
              <v:fill type="solid"/>
            </v:rect>
            <v:shape style="position:absolute;left:6896100;top:-4232441;width:297182;height:316230" coordorigin="6896100,-4232441" coordsize="297182,316230" path="m13673,8350l13673,8350,13635,8342,13604,8322,13583,8291,13575,8253,13575,7825,13575,7825,13583,7787,13604,7756,13635,7735,13673,7728m14063,7728l14063,7728,14082,7729,14100,7735,14117,7744,14131,7756,14144,7771,14153,7788,14158,7806,14160,7825,14160,8253,14152,8291,14131,8322,14100,8342,14063,8350e" filled="false" stroked="true" strokeweight="1.5pt" strokecolor="#ffffff">
              <v:path arrowok="t"/>
              <v:stroke dashstyle="solid"/>
            </v:shape>
            <v:shape style="position:absolute;left:13320;top:7488;width:1080;height:936" type="#_x0000_t202" filled="false" stroked="false">
              <v:textbox inset="0,0,0,0">
                <w:txbxContent>
                  <w:p>
                    <w:pPr>
                      <w:spacing w:before="341"/>
                      <w:ind w:left="15" w:right="0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5"/>
        <w:rPr>
          <w:sz w:val="27"/>
        </w:rPr>
      </w:pPr>
    </w:p>
    <w:p>
      <w:pPr>
        <w:spacing w:line="249" w:lineRule="auto" w:before="45"/>
        <w:ind w:left="2914" w:right="3952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color w:val="DA1F28"/>
          <w:sz w:val="32"/>
        </w:rPr>
        <w:t>Winship-Robbins Elementary School District GENERAL FUND EXPENDITURES</w:t>
      </w:r>
    </w:p>
    <w:p>
      <w:pPr>
        <w:spacing w:line="375" w:lineRule="exact" w:before="0"/>
        <w:ind w:left="1120" w:right="2153" w:firstLine="0"/>
        <w:jc w:val="center"/>
        <w:rPr>
          <w:rFonts w:ascii="Cambria"/>
          <w:b/>
          <w:sz w:val="32"/>
        </w:rPr>
      </w:pPr>
      <w:r>
        <w:rPr/>
        <w:drawing>
          <wp:anchor distT="0" distB="0" distL="0" distR="0" allowOverlap="1" layoutInCell="1" locked="0" behindDoc="0" simplePos="0" relativeHeight="251676672">
            <wp:simplePos x="0" y="0"/>
            <wp:positionH relativeFrom="page">
              <wp:posOffset>509376</wp:posOffset>
            </wp:positionH>
            <wp:positionV relativeFrom="paragraph">
              <wp:posOffset>404167</wp:posOffset>
            </wp:positionV>
            <wp:extent cx="3448049" cy="1533524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049" cy="1533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b/>
          <w:color w:val="DA1F28"/>
          <w:sz w:val="32"/>
        </w:rPr>
        <w:t>2020-2021 Adopted Budget</w:t>
      </w:r>
      <w:r>
        <w:rPr>
          <w:rFonts w:ascii="Cambria"/>
          <w:b/>
          <w:color w:val="DA1F28"/>
          <w:spacing w:val="64"/>
          <w:sz w:val="32"/>
        </w:rPr>
        <w:t> </w:t>
      </w:r>
      <w:r>
        <w:rPr>
          <w:rFonts w:ascii="Cambria"/>
          <w:b/>
          <w:color w:val="DA1F28"/>
          <w:sz w:val="32"/>
        </w:rPr>
        <w:t>Report</w:t>
      </w:r>
    </w:p>
    <w:p>
      <w:pPr>
        <w:pStyle w:val="BodyText"/>
        <w:rPr>
          <w:rFonts w:ascii="Cambria"/>
          <w:b/>
          <w:sz w:val="32"/>
        </w:rPr>
      </w:pPr>
    </w:p>
    <w:p>
      <w:pPr>
        <w:pStyle w:val="BodyText"/>
        <w:spacing w:before="2"/>
        <w:rPr>
          <w:rFonts w:ascii="Cambria"/>
          <w:b/>
          <w:sz w:val="40"/>
        </w:rPr>
      </w:pPr>
    </w:p>
    <w:p>
      <w:pPr>
        <w:spacing w:line="249" w:lineRule="auto" w:before="0"/>
        <w:ind w:left="7442" w:right="3715" w:firstLine="0"/>
        <w:jc w:val="both"/>
        <w:rPr>
          <w:sz w:val="34"/>
        </w:rPr>
      </w:pPr>
      <w:r>
        <w:rPr/>
        <w:drawing>
          <wp:anchor distT="0" distB="0" distL="0" distR="0" allowOverlap="1" layoutInCell="1" locked="0" behindDoc="0" simplePos="0" relativeHeight="251677696">
            <wp:simplePos x="0" y="0"/>
            <wp:positionH relativeFrom="page">
              <wp:posOffset>2353635</wp:posOffset>
            </wp:positionH>
            <wp:positionV relativeFrom="paragraph">
              <wp:posOffset>1259360</wp:posOffset>
            </wp:positionV>
            <wp:extent cx="4914899" cy="3038474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4899" cy="3038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4"/>
        </w:rPr>
        <w:t>Salaries and benefits represent 67% of the District’s total</w:t>
      </w:r>
      <w:r>
        <w:rPr>
          <w:spacing w:val="-26"/>
          <w:sz w:val="34"/>
        </w:rPr>
        <w:t> </w:t>
      </w:r>
      <w:r>
        <w:rPr>
          <w:sz w:val="34"/>
        </w:rPr>
        <w:t>budget.</w:t>
      </w:r>
    </w:p>
    <w:p>
      <w:pPr>
        <w:spacing w:after="0" w:line="249" w:lineRule="auto"/>
        <w:jc w:val="both"/>
        <w:rPr>
          <w:sz w:val="34"/>
        </w:rPr>
        <w:sectPr>
          <w:pgSz w:w="14400" w:h="9360" w:orient="landscape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666pt;margin-top:0pt;width:54pt;height:468pt;mso-position-horizontal-relative:page;mso-position-vertical-relative:page;z-index:251679744" coordorigin="13320,0" coordsize="1080,9360">
            <v:shape style="position:absolute;left:13319;top:0;width:1080;height:9360" coordorigin="13320,0" coordsize="1080,9360" path="m14400,8424l13320,8424,13320,9360,14400,9360,14400,8424m14400,0l13320,0,13320,7488,14400,7488,14400,0e" filled="true" fillcolor="#464646" stroked="false">
              <v:path arrowok="t"/>
              <v:fill type="solid"/>
            </v:shape>
            <v:rect style="position:absolute;left:13320;top:7488;width:1080;height:936" filled="true" fillcolor="#2da2be" stroked="false">
              <v:fill type="solid"/>
            </v:rect>
            <v:shape style="position:absolute;left:6825430;top:-4181979;width:438912;height:274726" coordorigin="6825431,-4181978" coordsize="438912,274726" path="m13526,8251l13491,8243,13462,8224,13443,8195,13436,8160,13436,7800,13436,7800,13443,7765,13462,7736,13491,7717,13526,7710m14210,7710l14227,7711,14244,7717,14260,7725,14274,7736,14285,7750,14293,7765,14298,7782,14300,7800,14300,8160,14293,8195,14274,8224,14245,8243,14210,8251e" filled="false" stroked="true" strokeweight="1.5pt" strokecolor="#ffffff">
              <v:path arrowok="t"/>
              <v:stroke dashstyle="solid"/>
            </v:shape>
            <v:shape style="position:absolute;left:13320;top:7488;width:1080;height:936" type="#_x0000_t202" filled="false" stroked="false">
              <v:textbox inset="0,0,0,0">
                <w:txbxContent>
                  <w:p>
                    <w:pPr>
                      <w:spacing w:before="282"/>
                      <w:ind w:left="15" w:right="0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Heading1"/>
        <w:spacing w:line="230" w:lineRule="auto" w:before="192"/>
        <w:ind w:left="2898" w:right="3952"/>
      </w:pPr>
      <w:r>
        <w:rPr>
          <w:color w:val="DA1F28"/>
        </w:rPr>
        <w:t>Winship-Robbins Elementary School District GENERAL FUND EXPENDITURES</w:t>
      </w:r>
    </w:p>
    <w:p>
      <w:pPr>
        <w:spacing w:line="363" w:lineRule="exact" w:before="0"/>
        <w:ind w:left="1104" w:right="2153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color w:val="DA1F28"/>
          <w:sz w:val="32"/>
        </w:rPr>
        <w:t>2020-2021 Adopted Budget</w:t>
      </w:r>
      <w:r>
        <w:rPr>
          <w:rFonts w:ascii="Cambria"/>
          <w:b/>
          <w:color w:val="DA1F28"/>
          <w:spacing w:val="64"/>
          <w:sz w:val="32"/>
        </w:rPr>
        <w:t> </w:t>
      </w:r>
      <w:r>
        <w:rPr>
          <w:rFonts w:ascii="Cambria"/>
          <w:b/>
          <w:color w:val="DA1F28"/>
          <w:sz w:val="32"/>
        </w:rPr>
        <w:t>Report</w:t>
      </w:r>
    </w:p>
    <w:p>
      <w:pPr>
        <w:spacing w:before="117"/>
        <w:ind w:left="623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CERTIFICATED SALARIES - $500,382</w:t>
      </w:r>
    </w:p>
    <w:p>
      <w:pPr>
        <w:spacing w:line="297" w:lineRule="auto" w:before="61"/>
        <w:ind w:left="623" w:right="1370" w:firstLine="0"/>
        <w:jc w:val="left"/>
        <w:rPr>
          <w:sz w:val="20"/>
        </w:rPr>
      </w:pPr>
      <w:r>
        <w:rPr>
          <w:sz w:val="20"/>
        </w:rPr>
        <w:t>Salary projections are based on 6.2 certificated FTE; and 1 management FTE, (.7 FTE Principal; .3 FTE Superintendent). There is a decrease in FTE and certificated salaries due to the retirement of one teacher effective 6/30/20, as well as a second retirement of one teacher effective October 2020.</w:t>
      </w:r>
    </w:p>
    <w:p>
      <w:pPr>
        <w:pStyle w:val="BodyText"/>
        <w:spacing w:before="6"/>
        <w:rPr>
          <w:sz w:val="19"/>
        </w:rPr>
      </w:pPr>
    </w:p>
    <w:p>
      <w:pPr>
        <w:spacing w:before="1"/>
        <w:ind w:left="623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CLASSIFIED SALARIES - $431,396</w:t>
      </w:r>
    </w:p>
    <w:p>
      <w:pPr>
        <w:spacing w:before="61"/>
        <w:ind w:left="623" w:right="0" w:firstLine="0"/>
        <w:jc w:val="left"/>
        <w:rPr>
          <w:sz w:val="20"/>
        </w:rPr>
      </w:pPr>
      <w:r>
        <w:rPr>
          <w:sz w:val="20"/>
        </w:rPr>
        <w:t>Salary projections are based on 11.0 FTEs and known staffing needs, including extra-duty and overtime.</w:t>
      </w:r>
    </w:p>
    <w:p>
      <w:pPr>
        <w:spacing w:before="55"/>
        <w:ind w:left="623" w:right="0" w:firstLine="0"/>
        <w:jc w:val="left"/>
        <w:rPr>
          <w:sz w:val="20"/>
        </w:rPr>
      </w:pPr>
      <w:r>
        <w:rPr>
          <w:sz w:val="20"/>
        </w:rPr>
        <w:t>.</w:t>
      </w:r>
    </w:p>
    <w:p>
      <w:pPr>
        <w:spacing w:before="56"/>
        <w:ind w:left="623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EMPLOYEE BENEFITS - $376,734</w:t>
      </w:r>
    </w:p>
    <w:p>
      <w:pPr>
        <w:spacing w:line="297" w:lineRule="auto" w:before="61"/>
        <w:ind w:left="623" w:right="1670" w:firstLine="0"/>
        <w:jc w:val="left"/>
        <w:rPr>
          <w:sz w:val="20"/>
        </w:rPr>
      </w:pPr>
      <w:r>
        <w:rPr>
          <w:sz w:val="20"/>
        </w:rPr>
        <w:t>Benefits are based on projections that reflect a increase in salary expenditures. 2020-2021 STRS rate is 16.15%. 2020-2021 PERS rate is</w:t>
      </w:r>
      <w:r>
        <w:rPr>
          <w:spacing w:val="-2"/>
          <w:sz w:val="20"/>
        </w:rPr>
        <w:t> </w:t>
      </w:r>
      <w:r>
        <w:rPr>
          <w:sz w:val="20"/>
        </w:rPr>
        <w:t>20.70%.</w:t>
      </w:r>
    </w:p>
    <w:p>
      <w:pPr>
        <w:spacing w:before="195"/>
        <w:ind w:left="623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BOOKS AND SUPPLIES - $142,593</w:t>
      </w:r>
    </w:p>
    <w:p>
      <w:pPr>
        <w:spacing w:line="297" w:lineRule="auto" w:before="62"/>
        <w:ind w:left="623" w:right="1604" w:firstLine="0"/>
        <w:jc w:val="both"/>
        <w:rPr>
          <w:sz w:val="20"/>
        </w:rPr>
      </w:pPr>
      <w:r>
        <w:rPr>
          <w:sz w:val="20"/>
        </w:rPr>
        <w:t>Projected</w:t>
      </w:r>
      <w:r>
        <w:rPr>
          <w:spacing w:val="-5"/>
          <w:sz w:val="20"/>
        </w:rPr>
        <w:t> </w:t>
      </w:r>
      <w:r>
        <w:rPr>
          <w:sz w:val="20"/>
        </w:rPr>
        <w:t>instructional</w:t>
      </w:r>
      <w:r>
        <w:rPr>
          <w:spacing w:val="-3"/>
          <w:sz w:val="20"/>
        </w:rPr>
        <w:t> </w:t>
      </w:r>
      <w:r>
        <w:rPr>
          <w:sz w:val="20"/>
        </w:rPr>
        <w:t>materials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supplies</w:t>
      </w:r>
      <w:r>
        <w:rPr>
          <w:spacing w:val="-4"/>
          <w:sz w:val="20"/>
        </w:rPr>
        <w:t> </w:t>
      </w:r>
      <w:r>
        <w:rPr>
          <w:sz w:val="20"/>
        </w:rPr>
        <w:t>expenses</w:t>
      </w:r>
      <w:r>
        <w:rPr>
          <w:spacing w:val="-3"/>
          <w:sz w:val="20"/>
        </w:rPr>
        <w:t> </w:t>
      </w:r>
      <w:r>
        <w:rPr>
          <w:sz w:val="20"/>
        </w:rPr>
        <w:t>include</w:t>
      </w:r>
      <w:r>
        <w:rPr>
          <w:spacing w:val="-3"/>
          <w:sz w:val="20"/>
        </w:rPr>
        <w:t> </w:t>
      </w:r>
      <w:r>
        <w:rPr>
          <w:sz w:val="20"/>
        </w:rPr>
        <w:t>core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supplemental</w:t>
      </w:r>
      <w:r>
        <w:rPr>
          <w:spacing w:val="-4"/>
          <w:sz w:val="20"/>
        </w:rPr>
        <w:t> </w:t>
      </w:r>
      <w:r>
        <w:rPr>
          <w:sz w:val="20"/>
        </w:rPr>
        <w:t>instructional</w:t>
      </w:r>
      <w:r>
        <w:rPr>
          <w:spacing w:val="-3"/>
          <w:sz w:val="20"/>
        </w:rPr>
        <w:t> </w:t>
      </w:r>
      <w:r>
        <w:rPr>
          <w:sz w:val="20"/>
        </w:rPr>
        <w:t>materials,</w:t>
      </w:r>
      <w:r>
        <w:rPr>
          <w:spacing w:val="-3"/>
          <w:sz w:val="20"/>
        </w:rPr>
        <w:t> </w:t>
      </w:r>
      <w:r>
        <w:rPr>
          <w:sz w:val="20"/>
        </w:rPr>
        <w:t>custodial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maintenance supplies, and technology related expenditures. This expenditure is reduced by $34,612 primarily due to the reduction of food and supply budgets in the cafeteria program. These reductions are due to a restructuring of the</w:t>
      </w:r>
      <w:r>
        <w:rPr>
          <w:spacing w:val="-23"/>
          <w:sz w:val="20"/>
        </w:rPr>
        <w:t> </w:t>
      </w:r>
      <w:r>
        <w:rPr>
          <w:sz w:val="20"/>
        </w:rPr>
        <w:t>program.</w:t>
      </w:r>
    </w:p>
    <w:p>
      <w:pPr>
        <w:pStyle w:val="BodyText"/>
        <w:spacing w:before="9"/>
        <w:rPr>
          <w:sz w:val="20"/>
        </w:rPr>
      </w:pPr>
    </w:p>
    <w:p>
      <w:pPr>
        <w:spacing w:before="1"/>
        <w:ind w:left="623" w:right="0" w:firstLine="0"/>
        <w:jc w:val="left"/>
        <w:rPr>
          <w:b/>
          <w:sz w:val="21"/>
        </w:rPr>
      </w:pPr>
      <w:r>
        <w:rPr>
          <w:b/>
          <w:sz w:val="21"/>
          <w:u w:val="single"/>
        </w:rPr>
        <w:t>SERVICES, OTHER OPERATING EXPENSES - $407,705</w:t>
      </w:r>
    </w:p>
    <w:p>
      <w:pPr>
        <w:spacing w:line="297" w:lineRule="auto" w:before="118"/>
        <w:ind w:left="623" w:right="1602" w:firstLine="0"/>
        <w:jc w:val="both"/>
        <w:rPr>
          <w:sz w:val="20"/>
        </w:rPr>
      </w:pPr>
      <w:r>
        <w:rPr>
          <w:sz w:val="20"/>
        </w:rPr>
        <w:t>Projected services and other operating expenses include professional development for classroom staff, classroom on-line instructional and intervention programs, maintenance, custodial repair, drinking water </w:t>
      </w:r>
      <w:r>
        <w:rPr>
          <w:spacing w:val="-3"/>
          <w:sz w:val="20"/>
        </w:rPr>
        <w:t>delivery, </w:t>
      </w:r>
      <w:r>
        <w:rPr>
          <w:sz w:val="20"/>
        </w:rPr>
        <w:t>and servicing expenses and utilities. This expenditure is reduced by $17,493 primarily due to the removal of several one-time, service expenditures related to maintenance and repairs, reductions in </w:t>
      </w:r>
      <w:r>
        <w:rPr>
          <w:spacing w:val="-6"/>
          <w:sz w:val="20"/>
        </w:rPr>
        <w:t>REAP, </w:t>
      </w:r>
      <w:r>
        <w:rPr>
          <w:sz w:val="20"/>
        </w:rPr>
        <w:t>Classified Employee Professional Development grant, and MTSS expenditures.</w:t>
      </w:r>
    </w:p>
    <w:p>
      <w:pPr>
        <w:spacing w:after="0" w:line="297" w:lineRule="auto"/>
        <w:jc w:val="both"/>
        <w:rPr>
          <w:sz w:val="20"/>
        </w:rPr>
        <w:sectPr>
          <w:pgSz w:w="14400" w:h="9360" w:orient="landscape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666pt;margin-top:0pt;width:54pt;height:468pt;mso-position-horizontal-relative:page;mso-position-vertical-relative:page;z-index:251681792" coordorigin="13320,0" coordsize="1080,9360">
            <v:shape style="position:absolute;left:13319;top:0;width:1080;height:9360" coordorigin="13320,0" coordsize="1080,9360" path="m14400,8424l13320,8424,13320,9360,14400,9360,14400,8424m14400,0l13320,0,13320,7488,14400,7488,14400,0e" filled="true" fillcolor="#464646" stroked="false">
              <v:path arrowok="t"/>
              <v:fill type="solid"/>
            </v:shape>
            <v:rect style="position:absolute;left:13320;top:7488;width:1080;height:936" filled="true" fillcolor="#2da2be" stroked="false">
              <v:fill type="solid"/>
            </v:rect>
            <v:shape style="position:absolute;left:6825430;top:-4181979;width:438912;height:274726" coordorigin="6825431,-4181978" coordsize="438912,274726" path="m13526,8251l13491,8243,13462,8224,13443,8195,13436,8160,13436,7800,13436,7800,13443,7765,13462,7736,13491,7717,13526,7710m14210,7710l14227,7711,14244,7717,14260,7725,14274,7736,14285,7750,14293,7765,14298,7782,14300,7800,14300,8160,14293,8195,14274,8224,14245,8243,14210,8251e" filled="false" stroked="true" strokeweight="1.5pt" strokecolor="#ffffff">
              <v:path arrowok="t"/>
              <v:stroke dashstyle="solid"/>
            </v:shape>
            <v:shape style="position:absolute;left:13320;top:7488;width:1080;height:936" type="#_x0000_t202" filled="false" stroked="false">
              <v:textbox inset="0,0,0,0">
                <w:txbxContent>
                  <w:p>
                    <w:pPr>
                      <w:spacing w:before="282"/>
                      <w:ind w:left="347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10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Heading1"/>
        <w:spacing w:line="249" w:lineRule="auto" w:before="177"/>
        <w:ind w:left="3321" w:right="3952"/>
      </w:pPr>
      <w:r>
        <w:rPr>
          <w:color w:val="DA1F28"/>
        </w:rPr>
        <w:t>Winship-Robbins Elementary School District GENERAL FUND EXPENDITURES</w:t>
      </w:r>
    </w:p>
    <w:p>
      <w:pPr>
        <w:spacing w:line="375" w:lineRule="exact" w:before="0"/>
        <w:ind w:left="1527" w:right="2153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color w:val="DA1F28"/>
          <w:sz w:val="32"/>
        </w:rPr>
        <w:t>2020-2021 Adopted Budget</w:t>
      </w:r>
      <w:r>
        <w:rPr>
          <w:rFonts w:ascii="Cambria"/>
          <w:b/>
          <w:color w:val="DA1F28"/>
          <w:spacing w:val="64"/>
          <w:sz w:val="32"/>
        </w:rPr>
        <w:t> </w:t>
      </w:r>
      <w:r>
        <w:rPr>
          <w:rFonts w:ascii="Cambria"/>
          <w:b/>
          <w:color w:val="DA1F28"/>
          <w:sz w:val="32"/>
        </w:rPr>
        <w:t>Report</w:t>
      </w:r>
    </w:p>
    <w:p>
      <w:pPr>
        <w:pStyle w:val="BodyText"/>
        <w:rPr>
          <w:rFonts w:ascii="Cambria"/>
          <w:b/>
          <w:sz w:val="32"/>
        </w:rPr>
      </w:pPr>
    </w:p>
    <w:p>
      <w:pPr>
        <w:pStyle w:val="Heading3"/>
        <w:spacing w:before="261"/>
        <w:rPr>
          <w:u w:val="none"/>
        </w:rPr>
      </w:pPr>
      <w:r>
        <w:rPr>
          <w:u w:val="thick"/>
        </w:rPr>
        <w:t>CAPITAL OUTLAY - $58,893</w:t>
      </w:r>
    </w:p>
    <w:p>
      <w:pPr>
        <w:spacing w:line="300" w:lineRule="auto" w:before="77"/>
        <w:ind w:left="440" w:right="1858" w:firstLine="0"/>
        <w:jc w:val="both"/>
        <w:rPr>
          <w:sz w:val="26"/>
        </w:rPr>
      </w:pPr>
      <w:r>
        <w:rPr>
          <w:sz w:val="26"/>
        </w:rPr>
        <w:t>This includes budget for the Winship water well construction project, electricity for the corporation yard, and new windows. The decrease of $224,084 is due primarily to the reduction of the solar project. The district also removed the fence project.</w:t>
      </w:r>
    </w:p>
    <w:p>
      <w:pPr>
        <w:pStyle w:val="BodyText"/>
        <w:spacing w:before="6"/>
        <w:rPr>
          <w:sz w:val="29"/>
        </w:rPr>
      </w:pPr>
    </w:p>
    <w:p>
      <w:pPr>
        <w:spacing w:before="0"/>
        <w:ind w:left="440" w:right="0" w:firstLine="0"/>
        <w:jc w:val="left"/>
        <w:rPr>
          <w:b/>
          <w:sz w:val="28"/>
        </w:rPr>
      </w:pPr>
      <w:r>
        <w:rPr>
          <w:b/>
          <w:sz w:val="28"/>
          <w:u w:val="thick"/>
        </w:rPr>
        <w:t>OTHER OUTGO - $37,867</w:t>
      </w:r>
    </w:p>
    <w:p>
      <w:pPr>
        <w:spacing w:before="77"/>
        <w:ind w:left="440" w:right="0" w:firstLine="0"/>
        <w:jc w:val="both"/>
        <w:rPr>
          <w:sz w:val="26"/>
        </w:rPr>
      </w:pPr>
      <w:r>
        <w:rPr>
          <w:sz w:val="26"/>
        </w:rPr>
        <w:t>Includes Special Education Excess Cost.</w:t>
      </w:r>
    </w:p>
    <w:p>
      <w:pPr>
        <w:pStyle w:val="BodyText"/>
        <w:spacing w:before="10"/>
        <w:rPr>
          <w:sz w:val="35"/>
        </w:rPr>
      </w:pPr>
    </w:p>
    <w:p>
      <w:pPr>
        <w:spacing w:before="0"/>
        <w:ind w:left="440" w:right="0" w:firstLine="0"/>
        <w:jc w:val="left"/>
        <w:rPr>
          <w:b/>
          <w:sz w:val="28"/>
        </w:rPr>
      </w:pPr>
      <w:r>
        <w:rPr>
          <w:b/>
          <w:sz w:val="28"/>
          <w:u w:val="thick"/>
        </w:rPr>
        <w:t>INTERFUND TRANSFERS IN/OUT - $0</w:t>
      </w:r>
    </w:p>
    <w:p>
      <w:pPr>
        <w:spacing w:before="77"/>
        <w:ind w:left="440" w:right="0" w:firstLine="0"/>
        <w:jc w:val="both"/>
        <w:rPr>
          <w:sz w:val="26"/>
        </w:rPr>
      </w:pPr>
      <w:r>
        <w:rPr>
          <w:sz w:val="26"/>
        </w:rPr>
        <w:t>No change.</w:t>
      </w:r>
    </w:p>
    <w:p>
      <w:pPr>
        <w:pStyle w:val="BodyText"/>
        <w:spacing w:before="7"/>
        <w:rPr>
          <w:sz w:val="30"/>
        </w:rPr>
      </w:pPr>
    </w:p>
    <w:p>
      <w:pPr>
        <w:spacing w:before="0"/>
        <w:ind w:left="440" w:right="0" w:firstLine="0"/>
        <w:jc w:val="left"/>
        <w:rPr>
          <w:b/>
          <w:sz w:val="28"/>
        </w:rPr>
      </w:pPr>
      <w:r>
        <w:rPr>
          <w:b/>
          <w:sz w:val="28"/>
          <w:u w:val="thick"/>
        </w:rPr>
        <w:t>CONTRIBUTIONS TO RESTRICTED PROGRAMS $328,078</w:t>
      </w:r>
    </w:p>
    <w:p>
      <w:pPr>
        <w:spacing w:line="300" w:lineRule="auto" w:before="77"/>
        <w:ind w:left="440" w:right="1855" w:firstLine="0"/>
        <w:jc w:val="both"/>
        <w:rPr>
          <w:sz w:val="26"/>
        </w:rPr>
      </w:pPr>
      <w:r>
        <w:rPr>
          <w:sz w:val="26"/>
        </w:rPr>
        <w:t>Contributions to restricted programs are projected to total $328,078 and include contributions to Child Nutrition, Special Education, Routine Restricted Maintenance, and Preschool.</w:t>
      </w:r>
    </w:p>
    <w:p>
      <w:pPr>
        <w:spacing w:after="0" w:line="300" w:lineRule="auto"/>
        <w:jc w:val="both"/>
        <w:rPr>
          <w:sz w:val="26"/>
        </w:rPr>
        <w:sectPr>
          <w:pgSz w:w="14400" w:h="9360" w:orient="landscape"/>
          <w:pgMar w:top="0" w:bottom="0" w:left="0" w:right="0"/>
        </w:sectPr>
      </w:pPr>
    </w:p>
    <w:p>
      <w:pPr>
        <w:pStyle w:val="BodyText"/>
        <w:spacing w:before="5"/>
        <w:rPr>
          <w:sz w:val="20"/>
        </w:rPr>
      </w:pPr>
      <w:r>
        <w:rPr/>
        <w:pict>
          <v:group style="position:absolute;margin-left:666pt;margin-top:0pt;width:54pt;height:468pt;mso-position-horizontal-relative:page;mso-position-vertical-relative:page;z-index:251685888" coordorigin="13320,0" coordsize="1080,9360">
            <v:shape style="position:absolute;left:13319;top:0;width:1080;height:9360" coordorigin="13320,0" coordsize="1080,9360" path="m14400,8424l13320,8424,13320,9360,14400,9360,14400,8424m14400,0l13320,0,13320,7488,14400,7488,14400,0e" filled="true" fillcolor="#464646" stroked="false">
              <v:path arrowok="t"/>
              <v:fill type="solid"/>
            </v:shape>
            <v:rect style="position:absolute;left:13320;top:7488;width:1080;height:936" filled="true" fillcolor="#2da2be" stroked="false">
              <v:fill type="solid"/>
            </v:rect>
            <v:shape style="position:absolute;left:6812280;top:-4158781;width:388621;height:273050" coordorigin="6812280,-4158781" coordsize="388621,273050" path="m13500,8205l13465,8198,13436,8179,13417,8150,13410,8115,13410,7757,13410,7757,13417,7722,13436,7694,13465,7675,13500,7668m14085,7668l14103,7669,14120,7674,14135,7683,14149,7694,14160,7707,14168,7723,14173,7740,14175,7757,14175,8115,14168,8150,14149,8179,14120,8198,14085,8205e" filled="false" stroked="true" strokeweight="1.5pt" strokecolor="#ffffff">
              <v:path arrowok="t"/>
              <v:stroke dashstyle="solid"/>
            </v:shape>
            <v:shape style="position:absolute;left:13320;top:7488;width:1080;height:936" type="#_x0000_t202" filled="false" stroked="false">
              <v:textbox inset="0,0,0,0">
                <w:txbxContent>
                  <w:p>
                    <w:pPr>
                      <w:spacing w:before="238"/>
                      <w:ind w:left="285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11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line="249" w:lineRule="auto" w:before="45"/>
        <w:ind w:left="3045" w:right="3952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color w:val="DA1F28"/>
          <w:sz w:val="32"/>
        </w:rPr>
        <w:t>Winship-Robbins Elementary School District GENERAL FUND BALANCE</w:t>
      </w:r>
    </w:p>
    <w:p>
      <w:pPr>
        <w:spacing w:line="375" w:lineRule="exact" w:before="0"/>
        <w:ind w:left="1251" w:right="2153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color w:val="DA1F28"/>
          <w:sz w:val="32"/>
        </w:rPr>
        <w:t>2020-2021 Adopted Budget</w:t>
      </w:r>
      <w:r>
        <w:rPr>
          <w:rFonts w:ascii="Cambria"/>
          <w:b/>
          <w:color w:val="DA1F28"/>
          <w:spacing w:val="64"/>
          <w:sz w:val="32"/>
        </w:rPr>
        <w:t> </w:t>
      </w:r>
      <w:r>
        <w:rPr>
          <w:rFonts w:ascii="Cambria"/>
          <w:b/>
          <w:color w:val="DA1F28"/>
          <w:sz w:val="32"/>
        </w:rPr>
        <w:t>Report</w:t>
      </w:r>
    </w:p>
    <w:p>
      <w:pPr>
        <w:pStyle w:val="BodyText"/>
        <w:spacing w:before="5"/>
        <w:rPr>
          <w:rFonts w:ascii="Cambria"/>
          <w:b/>
        </w:rPr>
      </w:pPr>
    </w:p>
    <w:p>
      <w:pPr>
        <w:spacing w:line="249" w:lineRule="auto" w:before="93"/>
        <w:ind w:left="435" w:right="1370" w:firstLine="0"/>
        <w:jc w:val="left"/>
        <w:rPr>
          <w:sz w:val="20"/>
        </w:rPr>
      </w:pPr>
      <w:r>
        <w:rPr>
          <w:sz w:val="20"/>
        </w:rPr>
        <w:t>The </w:t>
      </w:r>
      <w:r>
        <w:rPr>
          <w:b/>
          <w:sz w:val="20"/>
        </w:rPr>
        <w:t>estimated ending balance for the 2020-2021 year is </w:t>
      </w:r>
      <w:r>
        <w:rPr>
          <w:b/>
          <w:i/>
          <w:sz w:val="20"/>
        </w:rPr>
        <w:t>$2,096,381. </w:t>
      </w:r>
      <w:r>
        <w:rPr>
          <w:sz w:val="20"/>
        </w:rPr>
        <w:t>Of this amount, $97,778.51 has been designated for economic uncertainties as required by the State of California.</w:t>
      </w:r>
    </w:p>
    <w:p>
      <w:pPr>
        <w:pStyle w:val="BodyText"/>
        <w:spacing w:before="2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1957388</wp:posOffset>
            </wp:positionH>
            <wp:positionV relativeFrom="paragraph">
              <wp:posOffset>143102</wp:posOffset>
            </wp:positionV>
            <wp:extent cx="4636869" cy="1221581"/>
            <wp:effectExtent l="0" t="0" r="0" b="0"/>
            <wp:wrapTopAndBottom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6869" cy="1221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">
            <wp:simplePos x="0" y="0"/>
            <wp:positionH relativeFrom="page">
              <wp:posOffset>2167822</wp:posOffset>
            </wp:positionH>
            <wp:positionV relativeFrom="paragraph">
              <wp:posOffset>1529756</wp:posOffset>
            </wp:positionV>
            <wp:extent cx="4159805" cy="2828925"/>
            <wp:effectExtent l="0" t="0" r="0" b="0"/>
            <wp:wrapTopAndBottom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980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16"/>
        </w:rPr>
      </w:pPr>
    </w:p>
    <w:p>
      <w:pPr>
        <w:spacing w:after="0"/>
        <w:rPr>
          <w:sz w:val="16"/>
        </w:rPr>
        <w:sectPr>
          <w:pgSz w:w="14400" w:h="9360" w:orient="landscape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666pt;margin-top:0pt;width:54pt;height:468pt;mso-position-horizontal-relative:page;mso-position-vertical-relative:page;z-index:251689984" coordorigin="13320,0" coordsize="1080,9360">
            <v:shape style="position:absolute;left:13319;top:0;width:1080;height:9360" coordorigin="13320,0" coordsize="1080,9360" path="m14400,8424l13320,8424,13320,9360,14400,9360,14400,8424m14400,0l13320,0,13320,7488,14400,7488,14400,0e" filled="true" fillcolor="#464646" stroked="false">
              <v:path arrowok="t"/>
              <v:fill type="solid"/>
            </v:shape>
            <v:rect style="position:absolute;left:13320;top:7488;width:1080;height:936" filled="true" fillcolor="#2da2be" stroked="false">
              <v:fill type="solid"/>
            </v:rect>
            <v:shape style="position:absolute;left:6825430;top:-4181979;width:438912;height:274726" coordorigin="6825431,-4181978" coordsize="438912,274726" path="m13526,8251l13491,8243,13462,8224,13443,8195,13436,8160,13436,7800,13436,7800,13443,7765,13462,7736,13491,7717,13526,7710m14210,7710l14227,7711,14244,7717,14260,7725,14274,7736,14285,7750,14293,7765,14298,7782,14300,7800,14300,8160,14293,8195,14274,8224,14245,8243,14210,8251e" filled="false" stroked="true" strokeweight="1.5pt" strokecolor="#ffffff">
              <v:path arrowok="t"/>
              <v:stroke dashstyle="solid"/>
            </v:shape>
            <v:shape style="position:absolute;left:13320;top:7488;width:1080;height:936" type="#_x0000_t202" filled="false" stroked="false">
              <v:textbox inset="0,0,0,0">
                <w:txbxContent>
                  <w:p>
                    <w:pPr>
                      <w:spacing w:before="282"/>
                      <w:ind w:left="347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12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4"/>
        <w:rPr>
          <w:sz w:val="20"/>
        </w:rPr>
      </w:pPr>
    </w:p>
    <w:p>
      <w:pPr>
        <w:pStyle w:val="Heading1"/>
        <w:spacing w:line="249" w:lineRule="auto" w:before="45"/>
        <w:ind w:left="3353" w:right="3648"/>
      </w:pPr>
      <w:r>
        <w:rPr>
          <w:color w:val="DA1F28"/>
        </w:rPr>
        <w:t>Winship-Robbins Elementary School District REVENUES vs. EXPENDITURES</w:t>
      </w:r>
    </w:p>
    <w:p>
      <w:pPr>
        <w:spacing w:line="375" w:lineRule="exact" w:before="0"/>
        <w:ind w:left="1863" w:right="2153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color w:val="DA1F28"/>
          <w:sz w:val="32"/>
        </w:rPr>
        <w:t>2020-2021 Adopted Budget</w:t>
      </w:r>
      <w:r>
        <w:rPr>
          <w:rFonts w:ascii="Cambria"/>
          <w:b/>
          <w:color w:val="DA1F28"/>
          <w:spacing w:val="64"/>
          <w:sz w:val="32"/>
        </w:rPr>
        <w:t> </w:t>
      </w:r>
      <w:r>
        <w:rPr>
          <w:rFonts w:ascii="Cambria"/>
          <w:b/>
          <w:color w:val="DA1F28"/>
          <w:sz w:val="32"/>
        </w:rPr>
        <w:t>Report</w:t>
      </w: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spacing w:before="9"/>
        <w:rPr>
          <w:rFonts w:ascii="Cambria"/>
          <w:b/>
          <w:sz w:val="18"/>
        </w:rPr>
      </w:pPr>
      <w:r>
        <w:rPr/>
        <w:drawing>
          <wp:anchor distT="0" distB="0" distL="0" distR="0" allowOverlap="1" layoutInCell="1" locked="0" behindDoc="0" simplePos="0" relativeHeight="28">
            <wp:simplePos x="0" y="0"/>
            <wp:positionH relativeFrom="page">
              <wp:posOffset>2899569</wp:posOffset>
            </wp:positionH>
            <wp:positionV relativeFrom="paragraph">
              <wp:posOffset>165106</wp:posOffset>
            </wp:positionV>
            <wp:extent cx="3231522" cy="1236154"/>
            <wp:effectExtent l="0" t="0" r="0" b="0"/>
            <wp:wrapTopAndBottom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522" cy="1236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9">
            <wp:simplePos x="0" y="0"/>
            <wp:positionH relativeFrom="page">
              <wp:posOffset>2122270</wp:posOffset>
            </wp:positionH>
            <wp:positionV relativeFrom="paragraph">
              <wp:posOffset>1494691</wp:posOffset>
            </wp:positionV>
            <wp:extent cx="4646017" cy="3124200"/>
            <wp:effectExtent l="0" t="0" r="0" b="0"/>
            <wp:wrapTopAndBottom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6017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Cambria"/>
          <w:b/>
          <w:sz w:val="6"/>
        </w:rPr>
      </w:pPr>
    </w:p>
    <w:p>
      <w:pPr>
        <w:spacing w:after="0"/>
        <w:rPr>
          <w:rFonts w:ascii="Cambria"/>
          <w:sz w:val="6"/>
        </w:rPr>
        <w:sectPr>
          <w:pgSz w:w="14400" w:h="9360" w:orient="landscape"/>
          <w:pgMar w:top="0" w:bottom="0" w:left="0" w:right="0"/>
        </w:sectPr>
      </w:pPr>
    </w:p>
    <w:p>
      <w:pPr>
        <w:pStyle w:val="BodyText"/>
        <w:rPr>
          <w:rFonts w:ascii="Cambria"/>
          <w:b/>
          <w:sz w:val="20"/>
        </w:rPr>
      </w:pPr>
      <w:r>
        <w:rPr/>
        <w:pict>
          <v:group style="position:absolute;margin-left:666pt;margin-top:0pt;width:54pt;height:468pt;mso-position-horizontal-relative:page;mso-position-vertical-relative:page;z-index:251692032" coordorigin="13320,0" coordsize="1080,9360">
            <v:shape style="position:absolute;left:13319;top:0;width:1080;height:9360" coordorigin="13320,0" coordsize="1080,9360" path="m14400,8424l13320,8424,13320,9360,14400,9360,14400,8424m14400,0l13320,0,13320,7488,14400,7488,14400,0e" filled="true" fillcolor="#464646" stroked="false">
              <v:path arrowok="t"/>
              <v:fill type="solid"/>
            </v:shape>
            <v:rect style="position:absolute;left:13320;top:7488;width:1080;height:936" filled="true" fillcolor="#2da2be" stroked="false">
              <v:fill type="solid"/>
            </v:rect>
            <v:shape style="position:absolute;left:6825430;top:-4181979;width:438912;height:274726" coordorigin="6825431,-4181978" coordsize="438912,274726" path="m13526,8251l13491,8243,13462,8224,13443,8195,13436,8160,13436,7800,13436,7800,13443,7765,13462,7736,13491,7717,13526,7710m14210,7710l14227,7711,14244,7717,14260,7725,14274,7736,14285,7750,14293,7765,14298,7782,14300,7800,14300,8160,14293,8195,14274,8224,14245,8243,14210,8251e" filled="false" stroked="true" strokeweight="1.5pt" strokecolor="#ffffff">
              <v:path arrowok="t"/>
              <v:stroke dashstyle="solid"/>
            </v:shape>
            <v:shape style="position:absolute;left:13320;top:7488;width:1080;height:936" type="#_x0000_t202" filled="false" stroked="false">
              <v:textbox inset="0,0,0,0">
                <w:txbxContent>
                  <w:p>
                    <w:pPr>
                      <w:spacing w:before="282"/>
                      <w:ind w:left="347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13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Cambria"/>
          <w:b/>
          <w:sz w:val="20"/>
        </w:rPr>
      </w:pPr>
    </w:p>
    <w:p>
      <w:pPr>
        <w:spacing w:line="249" w:lineRule="auto" w:before="216"/>
        <w:ind w:left="3870" w:right="3952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color w:val="DA1F28"/>
          <w:sz w:val="32"/>
        </w:rPr>
        <w:t>Winship-Robbins Elementary School District OTHER FUNDS</w:t>
      </w:r>
    </w:p>
    <w:p>
      <w:pPr>
        <w:spacing w:line="375" w:lineRule="exact" w:before="0"/>
        <w:ind w:left="2076" w:right="2153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color w:val="DA1F28"/>
          <w:sz w:val="32"/>
        </w:rPr>
        <w:t>2020-2021 Adopted Budget</w:t>
      </w:r>
      <w:r>
        <w:rPr>
          <w:rFonts w:ascii="Cambria"/>
          <w:b/>
          <w:color w:val="DA1F28"/>
          <w:spacing w:val="64"/>
          <w:sz w:val="32"/>
        </w:rPr>
        <w:t> </w:t>
      </w:r>
      <w:r>
        <w:rPr>
          <w:rFonts w:ascii="Cambria"/>
          <w:b/>
          <w:color w:val="DA1F28"/>
          <w:sz w:val="32"/>
        </w:rPr>
        <w:t>Report</w:t>
      </w:r>
    </w:p>
    <w:p>
      <w:pPr>
        <w:pStyle w:val="BodyText"/>
        <w:rPr>
          <w:rFonts w:ascii="Cambria"/>
          <w:b/>
          <w:sz w:val="32"/>
        </w:rPr>
      </w:pPr>
    </w:p>
    <w:p>
      <w:pPr>
        <w:pStyle w:val="BodyText"/>
        <w:rPr>
          <w:rFonts w:ascii="Cambria"/>
          <w:b/>
          <w:sz w:val="32"/>
        </w:rPr>
      </w:pPr>
    </w:p>
    <w:p>
      <w:pPr>
        <w:pStyle w:val="BodyText"/>
        <w:spacing w:before="5"/>
        <w:rPr>
          <w:rFonts w:ascii="Cambria"/>
          <w:b/>
          <w:sz w:val="26"/>
        </w:rPr>
      </w:pPr>
    </w:p>
    <w:p>
      <w:pPr>
        <w:pStyle w:val="ListParagraph"/>
        <w:numPr>
          <w:ilvl w:val="0"/>
          <w:numId w:val="3"/>
        </w:numPr>
        <w:tabs>
          <w:tab w:pos="947" w:val="left" w:leader="none"/>
          <w:tab w:pos="948" w:val="left" w:leader="none"/>
        </w:tabs>
        <w:spacing w:line="240" w:lineRule="auto" w:before="1" w:after="0"/>
        <w:ind w:left="947" w:right="0" w:hanging="319"/>
        <w:jc w:val="left"/>
        <w:rPr>
          <w:sz w:val="28"/>
        </w:rPr>
      </w:pPr>
      <w:r>
        <w:rPr>
          <w:b/>
          <w:sz w:val="28"/>
        </w:rPr>
        <w:t>Student Activities Fund – </w:t>
      </w:r>
      <w:r>
        <w:rPr>
          <w:sz w:val="28"/>
        </w:rPr>
        <w:t>2020-2021 ending fund balance is projected to be</w:t>
      </w:r>
      <w:r>
        <w:rPr>
          <w:spacing w:val="-32"/>
          <w:sz w:val="28"/>
        </w:rPr>
        <w:t> </w:t>
      </w:r>
      <w:r>
        <w:rPr>
          <w:sz w:val="28"/>
        </w:rPr>
        <w:t>$240.00</w:t>
      </w:r>
    </w:p>
    <w:p>
      <w:pPr>
        <w:pStyle w:val="BodyText"/>
        <w:spacing w:before="5"/>
        <w:rPr>
          <w:sz w:val="39"/>
        </w:rPr>
      </w:pPr>
    </w:p>
    <w:p>
      <w:pPr>
        <w:pStyle w:val="ListParagraph"/>
        <w:numPr>
          <w:ilvl w:val="0"/>
          <w:numId w:val="3"/>
        </w:numPr>
        <w:tabs>
          <w:tab w:pos="947" w:val="left" w:leader="none"/>
          <w:tab w:pos="948" w:val="left" w:leader="none"/>
        </w:tabs>
        <w:spacing w:line="240" w:lineRule="auto" w:before="0" w:after="0"/>
        <w:ind w:left="947" w:right="0" w:hanging="319"/>
        <w:jc w:val="left"/>
        <w:rPr>
          <w:b/>
          <w:sz w:val="28"/>
        </w:rPr>
      </w:pPr>
      <w:r>
        <w:rPr>
          <w:b/>
          <w:sz w:val="28"/>
        </w:rPr>
        <w:t>Child Development Fund </w:t>
      </w:r>
      <w:r>
        <w:rPr>
          <w:sz w:val="28"/>
        </w:rPr>
        <w:t>– 2020-2021 ending fund balance is projected to be</w:t>
      </w:r>
      <w:r>
        <w:rPr>
          <w:spacing w:val="-23"/>
          <w:sz w:val="28"/>
        </w:rPr>
        <w:t> </w:t>
      </w:r>
      <w:r>
        <w:rPr>
          <w:b/>
          <w:sz w:val="28"/>
        </w:rPr>
        <w:t>$5,065.00</w:t>
      </w:r>
    </w:p>
    <w:p>
      <w:pPr>
        <w:pStyle w:val="BodyText"/>
        <w:spacing w:before="10"/>
        <w:rPr>
          <w:b/>
          <w:sz w:val="39"/>
        </w:rPr>
      </w:pPr>
    </w:p>
    <w:p>
      <w:pPr>
        <w:pStyle w:val="ListParagraph"/>
        <w:numPr>
          <w:ilvl w:val="0"/>
          <w:numId w:val="3"/>
        </w:numPr>
        <w:tabs>
          <w:tab w:pos="947" w:val="left" w:leader="none"/>
          <w:tab w:pos="948" w:val="left" w:leader="none"/>
        </w:tabs>
        <w:spacing w:line="240" w:lineRule="auto" w:before="0" w:after="0"/>
        <w:ind w:left="947" w:right="0" w:hanging="319"/>
        <w:jc w:val="left"/>
        <w:rPr>
          <w:b/>
          <w:sz w:val="28"/>
        </w:rPr>
      </w:pPr>
      <w:r>
        <w:rPr>
          <w:b/>
          <w:sz w:val="28"/>
        </w:rPr>
        <w:t>Deferred Maintenance Fund </w:t>
      </w:r>
      <w:r>
        <w:rPr>
          <w:sz w:val="28"/>
        </w:rPr>
        <w:t>– 2020-2021 ending fund balance is projected to be</w:t>
      </w:r>
      <w:r>
        <w:rPr>
          <w:spacing w:val="-25"/>
          <w:sz w:val="28"/>
        </w:rPr>
        <w:t> </w:t>
      </w:r>
      <w:r>
        <w:rPr>
          <w:b/>
          <w:sz w:val="28"/>
        </w:rPr>
        <w:t>$19,297.00</w:t>
      </w:r>
    </w:p>
    <w:p>
      <w:pPr>
        <w:pStyle w:val="BodyText"/>
        <w:spacing w:before="9"/>
        <w:rPr>
          <w:b/>
          <w:sz w:val="39"/>
        </w:rPr>
      </w:pPr>
    </w:p>
    <w:p>
      <w:pPr>
        <w:pStyle w:val="ListParagraph"/>
        <w:numPr>
          <w:ilvl w:val="0"/>
          <w:numId w:val="3"/>
        </w:numPr>
        <w:tabs>
          <w:tab w:pos="947" w:val="left" w:leader="none"/>
          <w:tab w:pos="948" w:val="left" w:leader="none"/>
        </w:tabs>
        <w:spacing w:line="240" w:lineRule="auto" w:before="0" w:after="0"/>
        <w:ind w:left="947" w:right="0" w:hanging="319"/>
        <w:jc w:val="left"/>
        <w:rPr>
          <w:b/>
          <w:sz w:val="28"/>
        </w:rPr>
      </w:pPr>
      <w:r>
        <w:rPr>
          <w:b/>
          <w:sz w:val="28"/>
        </w:rPr>
        <w:t>Special Reserve Fund </w:t>
      </w:r>
      <w:r>
        <w:rPr>
          <w:sz w:val="28"/>
        </w:rPr>
        <w:t>- 2020-2021 ending fund balance is projected to be</w:t>
      </w:r>
      <w:r>
        <w:rPr>
          <w:spacing w:val="-18"/>
          <w:sz w:val="28"/>
        </w:rPr>
        <w:t> </w:t>
      </w:r>
      <w:r>
        <w:rPr>
          <w:b/>
          <w:sz w:val="28"/>
        </w:rPr>
        <w:t>$403,786.00</w:t>
      </w:r>
    </w:p>
    <w:p>
      <w:pPr>
        <w:pStyle w:val="BodyText"/>
        <w:spacing w:before="10"/>
        <w:rPr>
          <w:b/>
          <w:sz w:val="39"/>
        </w:rPr>
      </w:pPr>
    </w:p>
    <w:p>
      <w:pPr>
        <w:pStyle w:val="ListParagraph"/>
        <w:numPr>
          <w:ilvl w:val="0"/>
          <w:numId w:val="3"/>
        </w:numPr>
        <w:tabs>
          <w:tab w:pos="947" w:val="left" w:leader="none"/>
          <w:tab w:pos="948" w:val="left" w:leader="none"/>
        </w:tabs>
        <w:spacing w:line="240" w:lineRule="auto" w:before="0" w:after="0"/>
        <w:ind w:left="947" w:right="0" w:hanging="319"/>
        <w:jc w:val="left"/>
        <w:rPr>
          <w:sz w:val="28"/>
        </w:rPr>
      </w:pPr>
      <w:r>
        <w:rPr>
          <w:b/>
          <w:sz w:val="28"/>
        </w:rPr>
        <w:t>Capital Facilities Fund </w:t>
      </w:r>
      <w:r>
        <w:rPr>
          <w:sz w:val="28"/>
        </w:rPr>
        <w:t>(Developer Fees) - 2020-2021 ending fund balance is projected to</w:t>
      </w:r>
      <w:r>
        <w:rPr>
          <w:spacing w:val="-28"/>
          <w:sz w:val="28"/>
        </w:rPr>
        <w:t> </w:t>
      </w:r>
      <w:r>
        <w:rPr>
          <w:sz w:val="28"/>
        </w:rPr>
        <w:t>be</w:t>
      </w:r>
    </w:p>
    <w:p>
      <w:pPr>
        <w:spacing w:before="12"/>
        <w:ind w:left="947" w:right="0" w:firstLine="0"/>
        <w:jc w:val="left"/>
        <w:rPr>
          <w:b/>
          <w:sz w:val="28"/>
        </w:rPr>
      </w:pPr>
      <w:r>
        <w:rPr>
          <w:b/>
          <w:sz w:val="28"/>
        </w:rPr>
        <w:t>$12,934.00</w:t>
      </w:r>
    </w:p>
    <w:p>
      <w:pPr>
        <w:pStyle w:val="BodyText"/>
        <w:spacing w:before="5"/>
        <w:rPr>
          <w:b/>
          <w:sz w:val="39"/>
        </w:rPr>
      </w:pPr>
    </w:p>
    <w:p>
      <w:pPr>
        <w:pStyle w:val="ListParagraph"/>
        <w:numPr>
          <w:ilvl w:val="0"/>
          <w:numId w:val="3"/>
        </w:numPr>
        <w:tabs>
          <w:tab w:pos="947" w:val="left" w:leader="none"/>
          <w:tab w:pos="948" w:val="left" w:leader="none"/>
        </w:tabs>
        <w:spacing w:line="240" w:lineRule="auto" w:before="0" w:after="0"/>
        <w:ind w:left="947" w:right="0" w:hanging="319"/>
        <w:jc w:val="left"/>
        <w:rPr>
          <w:b/>
          <w:sz w:val="28"/>
        </w:rPr>
      </w:pPr>
      <w:r>
        <w:rPr>
          <w:b/>
          <w:sz w:val="28"/>
        </w:rPr>
        <w:t>County Schools Facilities Fund </w:t>
      </w:r>
      <w:r>
        <w:rPr>
          <w:sz w:val="28"/>
        </w:rPr>
        <w:t>- 2020-2021 ending fund balance is projected to be</w:t>
      </w:r>
      <w:r>
        <w:rPr>
          <w:spacing w:val="-24"/>
          <w:sz w:val="28"/>
        </w:rPr>
        <w:t> </w:t>
      </w:r>
      <w:r>
        <w:rPr>
          <w:b/>
          <w:sz w:val="28"/>
        </w:rPr>
        <w:t>$1,819.00</w:t>
      </w:r>
    </w:p>
    <w:p>
      <w:pPr>
        <w:spacing w:after="0" w:line="240" w:lineRule="auto"/>
        <w:jc w:val="left"/>
        <w:rPr>
          <w:sz w:val="28"/>
        </w:rPr>
        <w:sectPr>
          <w:pgSz w:w="14400" w:h="9360" w:orient="landscape"/>
          <w:pgMar w:top="0" w:bottom="0" w:left="0" w:right="0"/>
        </w:sectPr>
      </w:pPr>
    </w:p>
    <w:p>
      <w:pPr>
        <w:pStyle w:val="BodyText"/>
        <w:spacing w:before="4"/>
        <w:rPr>
          <w:b/>
        </w:rPr>
      </w:pPr>
      <w:r>
        <w:rPr/>
        <w:pict>
          <v:group style="position:absolute;margin-left:666pt;margin-top:0pt;width:54pt;height:468pt;mso-position-horizontal-relative:page;mso-position-vertical-relative:page;z-index:251694080" coordorigin="13320,0" coordsize="1080,9360">
            <v:shape style="position:absolute;left:13319;top:0;width:1080;height:9360" coordorigin="13320,0" coordsize="1080,9360" path="m14400,8424l13320,8424,13320,9360,14400,9360,14400,8424m14400,0l13320,0,13320,7488,14400,7488,14400,0e" filled="true" fillcolor="#464646" stroked="false">
              <v:path arrowok="t"/>
              <v:fill type="solid"/>
            </v:shape>
            <v:rect style="position:absolute;left:13320;top:7488;width:1080;height:936" filled="true" fillcolor="#2da2be" stroked="false">
              <v:fill type="solid"/>
            </v:rect>
            <v:shape style="position:absolute;left:6825430;top:-4181979;width:438912;height:274726" coordorigin="6825431,-4181978" coordsize="438912,274726" path="m13526,8251l13491,8243,13462,8224,13443,8195,13436,8160,13436,7800,13436,7800,13443,7765,13462,7736,13491,7717,13526,7710m14210,7710l14227,7711,14244,7717,14260,7725,14274,7736,14285,7750,14293,7765,14298,7782,14300,7800,14300,8160,14293,8195,14274,8224,14245,8243,14210,8251e" filled="false" stroked="true" strokeweight="1.5pt" strokecolor="#ffffff">
              <v:path arrowok="t"/>
              <v:stroke dashstyle="solid"/>
            </v:shape>
            <v:shape style="position:absolute;left:13320;top:7488;width:1080;height:936" type="#_x0000_t202" filled="false" stroked="false">
              <v:textbox inset="0,0,0,0">
                <w:txbxContent>
                  <w:p>
                    <w:pPr>
                      <w:spacing w:before="282"/>
                      <w:ind w:left="347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14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Heading1"/>
        <w:spacing w:line="249" w:lineRule="auto" w:before="45"/>
        <w:ind w:left="3999" w:right="3460" w:hanging="7"/>
      </w:pPr>
      <w:r>
        <w:rPr>
          <w:color w:val="DA1F28"/>
        </w:rPr>
        <w:t>Winship-Robbins Elementary School District </w:t>
      </w:r>
      <w:r>
        <w:rPr>
          <w:color w:val="DA1F28"/>
          <w:spacing w:val="-8"/>
        </w:rPr>
        <w:t>MULTI-YEAR </w:t>
      </w:r>
      <w:r>
        <w:rPr>
          <w:color w:val="DA1F28"/>
        </w:rPr>
        <w:t>PROJECTION (MYP) ASSUMPTIONS</w:t>
      </w:r>
    </w:p>
    <w:p>
      <w:pPr>
        <w:spacing w:line="375" w:lineRule="exact" w:before="0"/>
        <w:ind w:left="2674" w:right="2139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color w:val="DA1F28"/>
          <w:sz w:val="32"/>
        </w:rPr>
        <w:t>2020-2021 Adopted Budget</w:t>
      </w:r>
      <w:r>
        <w:rPr>
          <w:rFonts w:ascii="Cambria"/>
          <w:b/>
          <w:color w:val="DA1F28"/>
          <w:spacing w:val="64"/>
          <w:sz w:val="32"/>
        </w:rPr>
        <w:t> </w:t>
      </w:r>
      <w:r>
        <w:rPr>
          <w:rFonts w:ascii="Cambria"/>
          <w:b/>
          <w:color w:val="DA1F28"/>
          <w:sz w:val="32"/>
        </w:rPr>
        <w:t>Report</w:t>
      </w:r>
    </w:p>
    <w:p>
      <w:pPr>
        <w:pStyle w:val="BodyText"/>
        <w:spacing w:line="187" w:lineRule="auto" w:before="166"/>
        <w:ind w:left="319" w:right="1617" w:hanging="145"/>
        <w:jc w:val="both"/>
      </w:pPr>
      <w:r>
        <w:rPr>
          <w:rFonts w:ascii="Arial Black" w:hAnsi="Arial Black"/>
        </w:rPr>
        <w:t>□</w:t>
      </w:r>
      <w:r>
        <w:rPr/>
        <w:t>Winship-Robbins</w:t>
      </w:r>
      <w:r>
        <w:rPr>
          <w:spacing w:val="-5"/>
        </w:rPr>
        <w:t> </w:t>
      </w:r>
      <w:r>
        <w:rPr/>
        <w:t>Local</w:t>
      </w:r>
      <w:r>
        <w:rPr>
          <w:spacing w:val="-5"/>
        </w:rPr>
        <w:t> </w:t>
      </w:r>
      <w:r>
        <w:rPr/>
        <w:t>Control</w:t>
      </w:r>
      <w:r>
        <w:rPr>
          <w:spacing w:val="-4"/>
        </w:rPr>
        <w:t> </w:t>
      </w:r>
      <w:r>
        <w:rPr/>
        <w:t>Funding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future</w:t>
      </w:r>
      <w:r>
        <w:rPr>
          <w:spacing w:val="-4"/>
        </w:rPr>
        <w:t> </w:t>
      </w:r>
      <w:r>
        <w:rPr/>
        <w:t>two</w:t>
      </w:r>
      <w:r>
        <w:rPr>
          <w:spacing w:val="-5"/>
        </w:rPr>
        <w:t> </w:t>
      </w:r>
      <w:r>
        <w:rPr/>
        <w:t>years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been</w:t>
      </w:r>
      <w:r>
        <w:rPr>
          <w:spacing w:val="-4"/>
        </w:rPr>
        <w:t> </w:t>
      </w:r>
      <w:r>
        <w:rPr/>
        <w:t>calculated</w:t>
      </w:r>
      <w:r>
        <w:rPr>
          <w:spacing w:val="-5"/>
        </w:rPr>
        <w:t> </w:t>
      </w:r>
      <w:r>
        <w:rPr/>
        <w:t>using</w:t>
      </w:r>
      <w:r>
        <w:rPr>
          <w:spacing w:val="-4"/>
        </w:rPr>
        <w:t> </w:t>
      </w:r>
      <w:r>
        <w:rPr/>
        <w:t>projected</w:t>
      </w:r>
      <w:r>
        <w:rPr>
          <w:spacing w:val="-17"/>
        </w:rPr>
        <w:t> </w:t>
      </w:r>
      <w:r>
        <w:rPr/>
        <w:t>ADA</w:t>
      </w:r>
      <w:r>
        <w:rPr>
          <w:spacing w:val="-17"/>
        </w:rPr>
        <w:t> </w:t>
      </w:r>
      <w:r>
        <w:rPr/>
        <w:t>of</w:t>
      </w:r>
      <w:r>
        <w:rPr>
          <w:spacing w:val="-4"/>
        </w:rPr>
        <w:t> 115.41</w:t>
      </w:r>
      <w:r>
        <w:rPr>
          <w:spacing w:val="-5"/>
        </w:rPr>
        <w:t> </w:t>
      </w:r>
      <w:r>
        <w:rPr/>
        <w:t>in 21/22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22/23</w:t>
      </w:r>
      <w:r>
        <w:rPr>
          <w:spacing w:val="-4"/>
        </w:rPr>
        <w:t> </w:t>
      </w:r>
      <w:r>
        <w:rPr/>
        <w:t>(which</w:t>
      </w:r>
      <w:r>
        <w:rPr>
          <w:spacing w:val="-5"/>
        </w:rPr>
        <w:t> </w:t>
      </w:r>
      <w:r>
        <w:rPr/>
        <w:t>includes</w:t>
      </w:r>
      <w:r>
        <w:rPr>
          <w:spacing w:val="-4"/>
        </w:rPr>
        <w:t> </w:t>
      </w:r>
      <w:r>
        <w:rPr/>
        <w:t>1.84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County</w:t>
      </w:r>
      <w:r>
        <w:rPr>
          <w:spacing w:val="-5"/>
        </w:rPr>
        <w:t> </w:t>
      </w:r>
      <w:r>
        <w:rPr/>
        <w:t>Operated</w:t>
      </w:r>
      <w:r>
        <w:rPr>
          <w:spacing w:val="-17"/>
        </w:rPr>
        <w:t> </w:t>
      </w:r>
      <w:r>
        <w:rPr/>
        <w:t>ADA</w:t>
      </w:r>
      <w:r>
        <w:rPr>
          <w:spacing w:val="-17"/>
        </w:rPr>
        <w:t> </w:t>
      </w:r>
      <w:r>
        <w:rPr/>
        <w:t>in</w:t>
      </w:r>
      <w:r>
        <w:rPr>
          <w:spacing w:val="-4"/>
        </w:rPr>
        <w:t> </w:t>
      </w:r>
      <w:r>
        <w:rPr/>
        <w:t>each</w:t>
      </w:r>
      <w:r>
        <w:rPr>
          <w:spacing w:val="-5"/>
        </w:rPr>
        <w:t> </w:t>
      </w:r>
      <w:r>
        <w:rPr/>
        <w:t>year).</w:t>
      </w:r>
      <w:r>
        <w:rPr>
          <w:spacing w:val="-17"/>
        </w:rPr>
        <w:t> </w:t>
      </w:r>
      <w:r>
        <w:rPr/>
        <w:t>All</w:t>
      </w:r>
      <w:r>
        <w:rPr>
          <w:spacing w:val="-4"/>
        </w:rPr>
        <w:t> </w:t>
      </w:r>
      <w:r>
        <w:rPr/>
        <w:t>one-time</w:t>
      </w:r>
      <w:r>
        <w:rPr>
          <w:spacing w:val="-5"/>
        </w:rPr>
        <w:t> </w:t>
      </w:r>
      <w:r>
        <w:rPr/>
        <w:t>revenues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expenditures have been</w:t>
      </w:r>
      <w:r>
        <w:rPr>
          <w:spacing w:val="-3"/>
        </w:rPr>
        <w:t> </w:t>
      </w:r>
      <w:r>
        <w:rPr/>
        <w:t>removed.</w:t>
      </w:r>
    </w:p>
    <w:p>
      <w:pPr>
        <w:pStyle w:val="BodyText"/>
        <w:spacing w:before="148"/>
        <w:ind w:left="175"/>
        <w:jc w:val="both"/>
      </w:pPr>
      <w:r>
        <w:rPr>
          <w:rFonts w:ascii="Arial Black" w:hAnsi="Arial Black"/>
        </w:rPr>
        <w:t>□</w:t>
      </w:r>
      <w:r>
        <w:rPr/>
        <w:t>Expenditure adjustments are as follows:</w:t>
      </w:r>
    </w:p>
    <w:p>
      <w:pPr>
        <w:pStyle w:val="BodyText"/>
        <w:tabs>
          <w:tab w:pos="1759" w:val="left" w:leader="none"/>
        </w:tabs>
        <w:spacing w:line="180" w:lineRule="auto" w:before="177"/>
        <w:ind w:left="319" w:right="3194" w:hanging="145"/>
      </w:pPr>
      <w:r>
        <w:rPr>
          <w:rFonts w:ascii="Arial Black" w:hAnsi="Arial Black"/>
        </w:rPr>
        <w:t>□</w:t>
      </w:r>
      <w:r>
        <w:rPr/>
        <w:t>Certificated</w:t>
        <w:tab/>
        <w:t>21/22</w:t>
      </w:r>
      <w:r>
        <w:rPr>
          <w:spacing w:val="-4"/>
        </w:rPr>
        <w:t> </w:t>
      </w:r>
      <w:r>
        <w:rPr/>
        <w:t>decreased</w:t>
      </w:r>
      <w:r>
        <w:rPr>
          <w:spacing w:val="-4"/>
        </w:rPr>
        <w:t> </w:t>
      </w:r>
      <w:r>
        <w:rPr/>
        <w:t>due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full</w:t>
      </w:r>
      <w:r>
        <w:rPr>
          <w:spacing w:val="-4"/>
        </w:rPr>
        <w:t> </w:t>
      </w:r>
      <w:r>
        <w:rPr/>
        <w:t>reduction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one</w:t>
      </w:r>
      <w:r>
        <w:rPr>
          <w:spacing w:val="-4"/>
        </w:rPr>
        <w:t> </w:t>
      </w:r>
      <w:r>
        <w:rPr/>
        <w:t>teacher</w:t>
      </w:r>
      <w:r>
        <w:rPr>
          <w:spacing w:val="-4"/>
        </w:rPr>
        <w:t> </w:t>
      </w:r>
      <w:r>
        <w:rPr/>
        <w:t>salary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retired</w:t>
      </w:r>
      <w:r>
        <w:rPr>
          <w:spacing w:val="-4"/>
        </w:rPr>
        <w:t> </w:t>
      </w:r>
      <w:r>
        <w:rPr/>
        <w:t>October</w:t>
      </w:r>
      <w:r>
        <w:rPr>
          <w:spacing w:val="-3"/>
        </w:rPr>
        <w:t> </w:t>
      </w:r>
      <w:r>
        <w:rPr/>
        <w:t>2020. Step &amp; Column increases are projected for 21/22 and</w:t>
      </w:r>
      <w:r>
        <w:rPr>
          <w:spacing w:val="-14"/>
        </w:rPr>
        <w:t> </w:t>
      </w:r>
      <w:r>
        <w:rPr/>
        <w:t>22/23.</w:t>
      </w:r>
    </w:p>
    <w:p>
      <w:pPr>
        <w:pStyle w:val="BodyText"/>
        <w:tabs>
          <w:tab w:pos="2479" w:val="left" w:leader="none"/>
        </w:tabs>
        <w:spacing w:line="262" w:lineRule="exact"/>
        <w:ind w:left="175"/>
      </w:pPr>
      <w:r>
        <w:rPr>
          <w:rFonts w:ascii="Arial Black" w:hAnsi="Arial Black"/>
        </w:rPr>
        <w:t>□</w:t>
      </w:r>
      <w:r>
        <w:rPr/>
        <w:t>Classified</w:t>
        <w:tab/>
        <w:t>Step and Column were projected for both 21/22 &amp;</w:t>
      </w:r>
      <w:r>
        <w:rPr>
          <w:spacing w:val="-13"/>
        </w:rPr>
        <w:t> </w:t>
      </w:r>
      <w:r>
        <w:rPr/>
        <w:t>22/23.</w:t>
      </w:r>
    </w:p>
    <w:p>
      <w:pPr>
        <w:pStyle w:val="BodyText"/>
        <w:tabs>
          <w:tab w:pos="2479" w:val="left" w:leader="none"/>
          <w:tab w:pos="11119" w:val="left" w:leader="none"/>
        </w:tabs>
        <w:spacing w:line="180" w:lineRule="auto" w:before="178"/>
        <w:ind w:left="1039" w:right="1962" w:hanging="865"/>
      </w:pPr>
      <w:r>
        <w:rPr>
          <w:rFonts w:ascii="Arial Black" w:hAnsi="Arial Black"/>
        </w:rPr>
        <w:t>□</w:t>
      </w:r>
      <w:r>
        <w:rPr/>
        <w:t>Benefits</w:t>
        <w:tab/>
        <w:t>Increased to cover the above salary adjustments, and increased to cover the increases in PERS</w:t>
      </w:r>
      <w:r>
        <w:rPr>
          <w:spacing w:val="-4"/>
        </w:rPr>
        <w:t> </w:t>
      </w:r>
      <w:r>
        <w:rPr/>
        <w:t>&amp;</w:t>
      </w:r>
      <w:r>
        <w:rPr>
          <w:spacing w:val="-3"/>
        </w:rPr>
        <w:t> </w:t>
      </w:r>
      <w:r>
        <w:rPr/>
        <w:t>STRS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21/22</w:t>
      </w:r>
      <w:r>
        <w:rPr>
          <w:spacing w:val="-3"/>
        </w:rPr>
        <w:t> </w:t>
      </w:r>
      <w:r>
        <w:rPr/>
        <w:t>&amp;</w:t>
      </w:r>
      <w:r>
        <w:rPr>
          <w:spacing w:val="-4"/>
        </w:rPr>
        <w:t> </w:t>
      </w:r>
      <w:r>
        <w:rPr/>
        <w:t>22/23.</w:t>
      </w:r>
      <w:r>
        <w:rPr>
          <w:spacing w:val="-3"/>
        </w:rPr>
        <w:t> </w:t>
      </w:r>
      <w:r>
        <w:rPr/>
        <w:t>STRS</w:t>
      </w:r>
      <w:r>
        <w:rPr>
          <w:spacing w:val="-3"/>
        </w:rPr>
        <w:t> </w:t>
      </w:r>
      <w:r>
        <w:rPr/>
        <w:t>rates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projected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16.02%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18.10</w:t>
      </w:r>
      <w:r>
        <w:rPr>
          <w:spacing w:val="-3"/>
        </w:rPr>
        <w:t> </w:t>
      </w:r>
      <w:r>
        <w:rPr/>
        <w:t>%,</w:t>
        <w:tab/>
      </w:r>
      <w:r>
        <w:rPr>
          <w:spacing w:val="-4"/>
        </w:rPr>
        <w:t>respectively.</w:t>
      </w:r>
    </w:p>
    <w:p>
      <w:pPr>
        <w:pStyle w:val="BodyText"/>
        <w:spacing w:line="238" w:lineRule="exact"/>
        <w:ind w:left="319"/>
      </w:pPr>
      <w:r>
        <w:rPr/>
        <w:t>PERS rates are projected to be 22.84% and 25.50%, respectively.</w:t>
      </w:r>
    </w:p>
    <w:p>
      <w:pPr>
        <w:pStyle w:val="BodyText"/>
        <w:tabs>
          <w:tab w:pos="2479" w:val="left" w:leader="none"/>
        </w:tabs>
        <w:spacing w:line="180" w:lineRule="auto" w:before="201"/>
        <w:ind w:left="1039" w:right="2512" w:hanging="865"/>
      </w:pPr>
      <w:r>
        <w:rPr>
          <w:rFonts w:ascii="Arial Black" w:hAnsi="Arial Black"/>
        </w:rPr>
        <w:t>□</w:t>
      </w:r>
      <w:r>
        <w:rPr/>
        <w:t>Supplies</w:t>
        <w:tab/>
        <w:t>Fiscal</w:t>
      </w:r>
      <w:r>
        <w:rPr>
          <w:spacing w:val="-5"/>
        </w:rPr>
        <w:t> </w:t>
      </w:r>
      <w:r>
        <w:rPr/>
        <w:t>year</w:t>
      </w:r>
      <w:r>
        <w:rPr>
          <w:spacing w:val="-4"/>
        </w:rPr>
        <w:t> </w:t>
      </w:r>
      <w:r>
        <w:rPr/>
        <w:t>21/22</w:t>
      </w:r>
      <w:r>
        <w:rPr>
          <w:spacing w:val="-5"/>
        </w:rPr>
        <w:t> </w:t>
      </w:r>
      <w:r>
        <w:rPr/>
        <w:t>increased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CPI</w:t>
      </w:r>
      <w:r>
        <w:rPr>
          <w:spacing w:val="-4"/>
        </w:rPr>
        <w:t> </w:t>
      </w:r>
      <w:r>
        <w:rPr/>
        <w:t>rate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1.73%.</w:t>
      </w:r>
      <w:r>
        <w:rPr>
          <w:spacing w:val="-4"/>
        </w:rPr>
        <w:t> </w:t>
      </w:r>
      <w:r>
        <w:rPr/>
        <w:t>Fiscal</w:t>
      </w:r>
      <w:r>
        <w:rPr>
          <w:spacing w:val="-5"/>
        </w:rPr>
        <w:t> </w:t>
      </w:r>
      <w:r>
        <w:rPr/>
        <w:t>year</w:t>
      </w:r>
      <w:r>
        <w:rPr>
          <w:spacing w:val="-4"/>
        </w:rPr>
        <w:t> </w:t>
      </w:r>
      <w:r>
        <w:rPr/>
        <w:t>22/23</w:t>
      </w:r>
      <w:r>
        <w:rPr>
          <w:spacing w:val="-5"/>
        </w:rPr>
        <w:t> </w:t>
      </w:r>
      <w:r>
        <w:rPr/>
        <w:t>increased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CPI rate of</w:t>
      </w:r>
      <w:r>
        <w:rPr>
          <w:spacing w:val="-3"/>
        </w:rPr>
        <w:t> </w:t>
      </w:r>
      <w:r>
        <w:rPr/>
        <w:t>2.12%.</w:t>
      </w:r>
    </w:p>
    <w:p>
      <w:pPr>
        <w:pStyle w:val="BodyText"/>
        <w:tabs>
          <w:tab w:pos="2479" w:val="left" w:leader="none"/>
        </w:tabs>
        <w:spacing w:line="301" w:lineRule="exact" w:before="148"/>
        <w:ind w:left="175"/>
      </w:pPr>
      <w:r>
        <w:rPr>
          <w:rFonts w:ascii="Arial Black" w:hAnsi="Arial Black"/>
        </w:rPr>
        <w:t>□</w:t>
      </w:r>
      <w:r>
        <w:rPr/>
        <w:t>Services</w:t>
        <w:tab/>
        <w:t>Removed one-time 20/21 expenditures. Fiscal year 21/22 increased with CPI rate of</w:t>
      </w:r>
      <w:r>
        <w:rPr>
          <w:spacing w:val="-27"/>
        </w:rPr>
        <w:t> </w:t>
      </w:r>
      <w:r>
        <w:rPr/>
        <w:t>1.73%.</w:t>
      </w:r>
    </w:p>
    <w:p>
      <w:pPr>
        <w:pStyle w:val="BodyText"/>
        <w:spacing w:line="239" w:lineRule="exact"/>
        <w:ind w:left="1759"/>
      </w:pPr>
      <w:r>
        <w:rPr/>
        <w:t>Fiscal year 22/23 increased with CPI rate of 2.12%.</w:t>
      </w:r>
    </w:p>
    <w:p>
      <w:pPr>
        <w:pStyle w:val="BodyText"/>
        <w:tabs>
          <w:tab w:pos="2479" w:val="left" w:leader="none"/>
        </w:tabs>
        <w:spacing w:line="180" w:lineRule="auto" w:before="201"/>
        <w:ind w:left="319" w:right="2816" w:hanging="145"/>
      </w:pPr>
      <w:r>
        <w:rPr>
          <w:rFonts w:ascii="Arial Black" w:hAnsi="Arial Black"/>
        </w:rPr>
        <w:t>□</w:t>
      </w:r>
      <w:r>
        <w:rPr/>
        <w:t>Capital</w:t>
      </w:r>
      <w:r>
        <w:rPr>
          <w:spacing w:val="-5"/>
        </w:rPr>
        <w:t> </w:t>
      </w:r>
      <w:r>
        <w:rPr/>
        <w:t>Outlay</w:t>
        <w:tab/>
        <w:t>Removed</w:t>
      </w:r>
      <w:r>
        <w:rPr>
          <w:spacing w:val="-5"/>
        </w:rPr>
        <w:t> </w:t>
      </w:r>
      <w:r>
        <w:rPr/>
        <w:t>one-time</w:t>
      </w:r>
      <w:r>
        <w:rPr>
          <w:spacing w:val="-5"/>
        </w:rPr>
        <w:t> </w:t>
      </w:r>
      <w:r>
        <w:rPr/>
        <w:t>capital</w:t>
      </w:r>
      <w:r>
        <w:rPr>
          <w:spacing w:val="-5"/>
        </w:rPr>
        <w:t> </w:t>
      </w:r>
      <w:r>
        <w:rPr/>
        <w:t>projects</w:t>
      </w:r>
      <w:r>
        <w:rPr>
          <w:spacing w:val="-4"/>
        </w:rPr>
        <w:t> </w:t>
      </w:r>
      <w:r>
        <w:rPr/>
        <w:t>expected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completed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20/21.</w:t>
      </w:r>
      <w:r>
        <w:rPr>
          <w:spacing w:val="-5"/>
        </w:rPr>
        <w:t> </w:t>
      </w:r>
      <w:r>
        <w:rPr/>
        <w:t>Budgeted</w:t>
      </w:r>
      <w:r>
        <w:rPr>
          <w:spacing w:val="-5"/>
        </w:rPr>
        <w:t> </w:t>
      </w:r>
      <w:r>
        <w:rPr/>
        <w:t>land improvements in 21/22 and estimated costs for capital projects in</w:t>
      </w:r>
      <w:r>
        <w:rPr>
          <w:spacing w:val="-17"/>
        </w:rPr>
        <w:t> </w:t>
      </w:r>
      <w:r>
        <w:rPr/>
        <w:t>22/23.</w:t>
      </w:r>
    </w:p>
    <w:p>
      <w:pPr>
        <w:pStyle w:val="BodyText"/>
        <w:spacing w:before="148"/>
        <w:ind w:left="175"/>
      </w:pPr>
      <w:r>
        <w:rPr>
          <w:rFonts w:ascii="Arial Black" w:hAnsi="Arial Black"/>
        </w:rPr>
        <w:t>□</w:t>
      </w:r>
      <w:r>
        <w:rPr/>
        <w:t>Other Outgo No adjustments.</w:t>
      </w:r>
    </w:p>
    <w:p>
      <w:pPr>
        <w:pStyle w:val="BodyText"/>
        <w:tabs>
          <w:tab w:pos="2479" w:val="left" w:leader="none"/>
        </w:tabs>
        <w:spacing w:before="112"/>
        <w:ind w:left="175"/>
      </w:pPr>
      <w:r>
        <w:rPr>
          <w:rFonts w:ascii="Arial Black" w:hAnsi="Arial Black"/>
        </w:rPr>
        <w:t>□</w:t>
      </w:r>
      <w:r>
        <w:rPr/>
        <w:t>Transfers-Out</w:t>
        <w:tab/>
        <w:t>No</w:t>
      </w:r>
      <w:r>
        <w:rPr>
          <w:spacing w:val="-2"/>
        </w:rPr>
        <w:t> </w:t>
      </w:r>
      <w:r>
        <w:rPr/>
        <w:t>adjustments.</w:t>
      </w:r>
    </w:p>
    <w:p>
      <w:pPr>
        <w:pStyle w:val="BodyText"/>
        <w:spacing w:line="180" w:lineRule="auto" w:before="177"/>
        <w:ind w:left="319" w:right="2867" w:hanging="145"/>
      </w:pPr>
      <w:r>
        <w:rPr>
          <w:rFonts w:ascii="Arial Black" w:hAnsi="Arial Black"/>
        </w:rPr>
        <w:t>□</w:t>
      </w:r>
      <w:r>
        <w:rPr/>
        <w:t>Contributions Contribution to Routine Restrict Maintenance; contribution to balance special education and contribution to balance child nutrition services.</w:t>
      </w:r>
    </w:p>
    <w:p>
      <w:pPr>
        <w:pStyle w:val="BodyText"/>
        <w:tabs>
          <w:tab w:pos="3199" w:val="left" w:leader="none"/>
        </w:tabs>
        <w:spacing w:before="148"/>
        <w:ind w:left="175"/>
      </w:pPr>
      <w:r>
        <w:rPr>
          <w:rFonts w:ascii="Arial Black" w:hAnsi="Arial Black"/>
        </w:rPr>
        <w:t>□</w:t>
      </w:r>
      <w:r>
        <w:rPr/>
        <w:t>Other</w:t>
      </w:r>
      <w:r>
        <w:rPr>
          <w:spacing w:val="-6"/>
        </w:rPr>
        <w:t> </w:t>
      </w:r>
      <w:r>
        <w:rPr/>
        <w:t>Sources/Uses</w:t>
        <w:tab/>
        <w:t>No</w:t>
      </w:r>
      <w:r>
        <w:rPr>
          <w:spacing w:val="-1"/>
        </w:rPr>
        <w:t> </w:t>
      </w:r>
      <w:r>
        <w:rPr/>
        <w:t>adjustments.</w:t>
      </w:r>
    </w:p>
    <w:p>
      <w:pPr>
        <w:spacing w:after="0"/>
        <w:sectPr>
          <w:pgSz w:w="14400" w:h="9360" w:orient="landscape"/>
          <w:pgMar w:top="0" w:bottom="0" w:left="0" w:right="0"/>
        </w:sectPr>
      </w:pPr>
    </w:p>
    <w:p>
      <w:pPr>
        <w:spacing w:line="171" w:lineRule="exact" w:before="57"/>
        <w:ind w:left="2172" w:right="2153" w:firstLine="0"/>
        <w:jc w:val="center"/>
        <w:rPr>
          <w:b/>
          <w:sz w:val="15"/>
        </w:rPr>
      </w:pPr>
      <w:r>
        <w:rPr>
          <w:b/>
          <w:color w:val="000101"/>
          <w:w w:val="125"/>
          <w:sz w:val="15"/>
        </w:rPr>
        <w:t>2020-21 Bud11et Development</w:t>
      </w:r>
    </w:p>
    <w:p>
      <w:pPr>
        <w:spacing w:line="148" w:lineRule="exact" w:before="0"/>
        <w:ind w:left="2192" w:right="2153" w:firstLine="0"/>
        <w:jc w:val="center"/>
        <w:rPr>
          <w:b/>
          <w:sz w:val="13"/>
        </w:rPr>
      </w:pPr>
      <w:r>
        <w:rPr>
          <w:b/>
          <w:color w:val="000101"/>
          <w:w w:val="145"/>
          <w:sz w:val="13"/>
        </w:rPr>
        <w:t>Winship-Robbins Elen,entary School </w:t>
      </w:r>
      <w:r>
        <w:rPr>
          <w:b/>
          <w:color w:val="000101"/>
          <w:w w:val="170"/>
          <w:sz w:val="13"/>
        </w:rPr>
        <w:t>Di-ict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7"/>
        <w:rPr>
          <w:b/>
          <w:sz w:val="20"/>
        </w:rPr>
      </w:pPr>
    </w:p>
    <w:p>
      <w:pPr>
        <w:spacing w:before="0"/>
        <w:ind w:left="1385" w:right="3952" w:firstLine="0"/>
        <w:jc w:val="center"/>
        <w:rPr>
          <w:rFonts w:ascii="Times New Roman"/>
          <w:sz w:val="12"/>
        </w:rPr>
      </w:pPr>
      <w:r>
        <w:rPr>
          <w:rFonts w:ascii="Times New Roman"/>
          <w:color w:val="000101"/>
          <w:w w:val="120"/>
          <w:sz w:val="12"/>
        </w:rPr>
        <w:t>PROJECTED 2020121</w:t>
      </w: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spacing w:before="6"/>
        <w:rPr>
          <w:rFonts w:ascii="Times New Roman"/>
          <w:sz w:val="13"/>
        </w:rPr>
      </w:pPr>
    </w:p>
    <w:p>
      <w:pPr>
        <w:tabs>
          <w:tab w:pos="8670" w:val="left" w:leader="none"/>
        </w:tabs>
        <w:spacing w:line="108" w:lineRule="exact" w:before="1"/>
        <w:ind w:left="18" w:right="0" w:firstLine="0"/>
        <w:jc w:val="left"/>
        <w:rPr>
          <w:rFonts w:ascii="Times New Roman"/>
          <w:sz w:val="12"/>
        </w:rPr>
      </w:pPr>
      <w:r>
        <w:rPr>
          <w:rFonts w:ascii="Times New Roman"/>
          <w:color w:val="000101"/>
          <w:w w:val="120"/>
          <w:sz w:val="12"/>
          <w:u w:val="thick" w:color="000000"/>
        </w:rPr>
        <w:t>COMPONENTS</w:t>
      </w:r>
      <w:r>
        <w:rPr>
          <w:rFonts w:ascii="Times New Roman"/>
          <w:color w:val="000101"/>
          <w:spacing w:val="-17"/>
          <w:w w:val="120"/>
          <w:sz w:val="12"/>
          <w:u w:val="thick" w:color="000000"/>
        </w:rPr>
        <w:t> </w:t>
      </w:r>
      <w:r>
        <w:rPr>
          <w:rFonts w:ascii="Times New Roman"/>
          <w:color w:val="000101"/>
          <w:w w:val="120"/>
          <w:sz w:val="12"/>
          <w:u w:val="thick" w:color="000000"/>
        </w:rPr>
        <w:t>OF</w:t>
      </w:r>
      <w:r>
        <w:rPr>
          <w:rFonts w:ascii="Times New Roman"/>
          <w:color w:val="000101"/>
          <w:spacing w:val="-18"/>
          <w:w w:val="120"/>
          <w:sz w:val="12"/>
          <w:u w:val="thick" w:color="000000"/>
        </w:rPr>
        <w:t> </w:t>
      </w:r>
      <w:r>
        <w:rPr>
          <w:rFonts w:ascii="Times New Roman"/>
          <w:color w:val="000101"/>
          <w:w w:val="120"/>
          <w:sz w:val="12"/>
          <w:u w:val="thick" w:color="000000"/>
        </w:rPr>
        <w:t>ENDING</w:t>
      </w:r>
      <w:r>
        <w:rPr>
          <w:rFonts w:ascii="Times New Roman"/>
          <w:color w:val="000101"/>
          <w:spacing w:val="-12"/>
          <w:w w:val="120"/>
          <w:sz w:val="12"/>
          <w:u w:val="thick" w:color="000000"/>
        </w:rPr>
        <w:t> </w:t>
      </w:r>
      <w:r>
        <w:rPr>
          <w:rFonts w:ascii="Times New Roman"/>
          <w:color w:val="000101"/>
          <w:w w:val="120"/>
          <w:sz w:val="12"/>
          <w:u w:val="thick" w:color="000000"/>
        </w:rPr>
        <w:t>FUND</w:t>
      </w:r>
      <w:r>
        <w:rPr>
          <w:rFonts w:ascii="Times New Roman"/>
          <w:color w:val="000101"/>
          <w:spacing w:val="-27"/>
          <w:w w:val="120"/>
          <w:sz w:val="12"/>
          <w:u w:val="thick" w:color="000000"/>
        </w:rPr>
        <w:t> </w:t>
      </w:r>
      <w:r>
        <w:rPr>
          <w:rFonts w:ascii="Times New Roman"/>
          <w:color w:val="000101"/>
          <w:w w:val="120"/>
          <w:sz w:val="12"/>
          <w:u w:val="thick" w:color="000000"/>
        </w:rPr>
        <w:t>BALANCE</w:t>
      </w:r>
      <w:r>
        <w:rPr>
          <w:rFonts w:ascii="Times New Roman"/>
          <w:color w:val="000101"/>
          <w:sz w:val="12"/>
          <w:u w:val="thick" w:color="000000"/>
        </w:rPr>
        <w:tab/>
      </w:r>
    </w:p>
    <w:p>
      <w:pPr>
        <w:tabs>
          <w:tab w:pos="4661" w:val="left" w:leader="none"/>
          <w:tab w:pos="5156" w:val="left" w:leader="none"/>
          <w:tab w:pos="8017" w:val="left" w:leader="none"/>
          <w:tab w:pos="8511" w:val="left" w:leader="none"/>
          <w:tab w:pos="11640" w:val="left" w:leader="none"/>
          <w:tab w:pos="12134" w:val="left" w:leader="none"/>
        </w:tabs>
        <w:spacing w:line="180" w:lineRule="auto" w:before="16"/>
        <w:ind w:left="22" w:right="1670" w:firstLine="213"/>
        <w:jc w:val="left"/>
        <w:rPr>
          <w:rFonts w:ascii="Times New Roman"/>
          <w:sz w:val="12"/>
        </w:rPr>
      </w:pPr>
      <w:r>
        <w:rPr/>
        <w:pict>
          <v:line style="position:absolute;mso-position-horizontal-relative:page;mso-position-vertical-relative:paragraph;z-index:251699200" from="595.333801pt,14.22073pt" to="720.000047pt,14.22073pt" stroked="true" strokeweight="1.167054pt" strokecolor="#000000">
            <v:stroke dashstyle="solid"/>
            <w10:wrap type="none"/>
          </v:line>
        </w:pict>
      </w:r>
      <w:r>
        <w:rPr>
          <w:color w:val="000101"/>
          <w:w w:val="125"/>
          <w:position w:val="1"/>
          <w:sz w:val="11"/>
        </w:rPr>
        <w:t>Reservedtcr</w:t>
      </w:r>
      <w:r>
        <w:rPr>
          <w:color w:val="000101"/>
          <w:spacing w:val="34"/>
          <w:w w:val="125"/>
          <w:position w:val="1"/>
          <w:sz w:val="11"/>
        </w:rPr>
        <w:t> </w:t>
      </w:r>
      <w:r>
        <w:rPr>
          <w:color w:val="000101"/>
          <w:w w:val="125"/>
          <w:position w:val="1"/>
          <w:sz w:val="11"/>
        </w:rPr>
        <w:t>Econorric</w:t>
      </w:r>
      <w:r>
        <w:rPr>
          <w:color w:val="000101"/>
          <w:spacing w:val="32"/>
          <w:w w:val="125"/>
          <w:position w:val="1"/>
          <w:sz w:val="11"/>
        </w:rPr>
        <w:t> </w:t>
      </w:r>
      <w:r>
        <w:rPr>
          <w:color w:val="000101"/>
          <w:w w:val="125"/>
          <w:position w:val="1"/>
          <w:sz w:val="11"/>
        </w:rPr>
        <w:t>Uncettairties</w:t>
        <w:tab/>
      </w:r>
      <w:r>
        <w:rPr>
          <w:rFonts w:ascii="Times New Roman"/>
          <w:color w:val="000101"/>
          <w:w w:val="125"/>
          <w:sz w:val="20"/>
        </w:rPr>
        <w:t>s</w:t>
        <w:tab/>
      </w:r>
      <w:r>
        <w:rPr>
          <w:rFonts w:ascii="Times New Roman"/>
          <w:color w:val="000101"/>
          <w:w w:val="125"/>
          <w:position w:val="2"/>
          <w:sz w:val="12"/>
        </w:rPr>
        <w:t>97,778.51</w:t>
        <w:tab/>
      </w:r>
      <w:r>
        <w:rPr>
          <w:rFonts w:ascii="Times New Roman"/>
          <w:color w:val="000101"/>
          <w:w w:val="125"/>
          <w:sz w:val="20"/>
        </w:rPr>
        <w:t>s</w:t>
        <w:tab/>
      </w:r>
      <w:r>
        <w:rPr>
          <w:rFonts w:ascii="Times New Roman"/>
          <w:color w:val="000101"/>
          <w:w w:val="125"/>
          <w:position w:val="2"/>
          <w:sz w:val="12"/>
        </w:rPr>
        <w:t>96,378.07</w:t>
        <w:tab/>
      </w:r>
      <w:r>
        <w:rPr>
          <w:rFonts w:ascii="Times New Roman"/>
          <w:color w:val="000101"/>
          <w:w w:val="125"/>
          <w:sz w:val="20"/>
        </w:rPr>
        <w:t>s</w:t>
        <w:tab/>
      </w:r>
      <w:r>
        <w:rPr>
          <w:rFonts w:ascii="Times New Roman"/>
          <w:color w:val="000101"/>
          <w:spacing w:val="-1"/>
          <w:w w:val="120"/>
          <w:position w:val="1"/>
          <w:sz w:val="12"/>
        </w:rPr>
        <w:t>98.870.93 </w:t>
      </w:r>
      <w:r>
        <w:rPr>
          <w:rFonts w:ascii="Times New Roman"/>
          <w:color w:val="000101"/>
          <w:w w:val="125"/>
          <w:sz w:val="12"/>
        </w:rPr>
        <w:t>ASSIGNMENTS</w:t>
      </w:r>
    </w:p>
    <w:p>
      <w:pPr>
        <w:tabs>
          <w:tab w:pos="2331" w:val="left" w:leader="none"/>
          <w:tab w:pos="5698" w:val="left" w:leader="none"/>
          <w:tab w:pos="9321" w:val="left" w:leader="none"/>
        </w:tabs>
        <w:spacing w:line="113" w:lineRule="exact" w:before="0"/>
        <w:ind w:left="0" w:right="2491" w:firstLine="0"/>
        <w:jc w:val="right"/>
        <w:rPr>
          <w:rFonts w:ascii="Times New Roman"/>
          <w:sz w:val="20"/>
        </w:rPr>
      </w:pPr>
      <w:r>
        <w:rPr>
          <w:color w:val="000101"/>
          <w:w w:val="135"/>
          <w:position w:val="1"/>
          <w:sz w:val="11"/>
        </w:rPr>
        <w:t>Assig,edfor</w:t>
      </w:r>
      <w:r>
        <w:rPr>
          <w:color w:val="000101"/>
          <w:spacing w:val="-5"/>
          <w:w w:val="135"/>
          <w:position w:val="1"/>
          <w:sz w:val="11"/>
        </w:rPr>
        <w:t> </w:t>
      </w:r>
      <w:r>
        <w:rPr>
          <w:color w:val="000101"/>
          <w:w w:val="135"/>
          <w:position w:val="1"/>
          <w:sz w:val="11"/>
        </w:rPr>
        <w:t>Te:dbook</w:t>
      </w:r>
      <w:r>
        <w:rPr>
          <w:color w:val="000101"/>
          <w:spacing w:val="-20"/>
          <w:w w:val="135"/>
          <w:position w:val="1"/>
          <w:sz w:val="11"/>
        </w:rPr>
        <w:t> </w:t>
      </w:r>
      <w:r>
        <w:rPr>
          <w:color w:val="000101"/>
          <w:w w:val="135"/>
          <w:position w:val="1"/>
          <w:sz w:val="11"/>
        </w:rPr>
        <w:t>Adoptions</w:t>
        <w:tab/>
      </w:r>
      <w:r>
        <w:rPr>
          <w:rFonts w:ascii="Times New Roman"/>
          <w:color w:val="000101"/>
          <w:w w:val="135"/>
          <w:sz w:val="20"/>
        </w:rPr>
        <w:t>s</w:t>
        <w:tab/>
        <w:t>s</w:t>
        <w:tab/>
      </w:r>
      <w:r>
        <w:rPr>
          <w:rFonts w:ascii="Times New Roman"/>
          <w:color w:val="000101"/>
          <w:spacing w:val="-1"/>
          <w:w w:val="130"/>
          <w:sz w:val="20"/>
        </w:rPr>
        <w:t>s</w:t>
      </w:r>
    </w:p>
    <w:p>
      <w:pPr>
        <w:tabs>
          <w:tab w:pos="2494" w:val="left" w:leader="none"/>
          <w:tab w:pos="2945" w:val="left" w:leader="none"/>
          <w:tab w:pos="5861" w:val="left" w:leader="none"/>
          <w:tab w:pos="6309" w:val="left" w:leader="none"/>
          <w:tab w:pos="9484" w:val="left" w:leader="none"/>
        </w:tabs>
        <w:spacing w:line="128" w:lineRule="exact" w:before="0"/>
        <w:ind w:left="0" w:right="2474" w:firstLine="0"/>
        <w:jc w:val="right"/>
        <w:rPr>
          <w:rFonts w:ascii="Times New Roman"/>
          <w:sz w:val="20"/>
        </w:rPr>
      </w:pPr>
      <w:r>
        <w:rPr>
          <w:color w:val="000101"/>
          <w:w w:val="130"/>
          <w:position w:val="1"/>
          <w:sz w:val="11"/>
        </w:rPr>
        <w:t>Assig"ledfor</w:t>
      </w:r>
      <w:r>
        <w:rPr>
          <w:color w:val="000101"/>
          <w:spacing w:val="27"/>
          <w:w w:val="130"/>
          <w:position w:val="1"/>
          <w:sz w:val="11"/>
        </w:rPr>
        <w:t> </w:t>
      </w:r>
      <w:r>
        <w:rPr>
          <w:color w:val="000101"/>
          <w:w w:val="130"/>
          <w:position w:val="1"/>
          <w:sz w:val="11"/>
        </w:rPr>
        <w:t>DeferredMairtenance</w:t>
        <w:tab/>
      </w:r>
      <w:r>
        <w:rPr>
          <w:rFonts w:ascii="Times New Roman"/>
          <w:color w:val="000101"/>
          <w:w w:val="130"/>
          <w:sz w:val="20"/>
        </w:rPr>
        <w:t>s</w:t>
        <w:tab/>
      </w:r>
      <w:r>
        <w:rPr>
          <w:rFonts w:ascii="Times New Roman"/>
          <w:color w:val="000101"/>
          <w:w w:val="130"/>
          <w:sz w:val="12"/>
        </w:rPr>
        <w:t>&lt;100.000 </w:t>
      </w:r>
      <w:r>
        <w:rPr>
          <w:rFonts w:ascii="Times New Roman"/>
          <w:color w:val="000101"/>
          <w:spacing w:val="4"/>
          <w:w w:val="130"/>
          <w:sz w:val="12"/>
        </w:rPr>
        <w:t> </w:t>
      </w:r>
      <w:r>
        <w:rPr>
          <w:color w:val="000101"/>
          <w:w w:val="130"/>
          <w:sz w:val="11"/>
        </w:rPr>
        <w:t>(roof.flootinc:1.mairt</w:t>
      </w:r>
      <w:r>
        <w:rPr>
          <w:color w:val="000101"/>
          <w:spacing w:val="-27"/>
          <w:w w:val="130"/>
          <w:sz w:val="11"/>
        </w:rPr>
        <w:t> </w:t>
      </w:r>
      <w:r>
        <w:rPr>
          <w:color w:val="000101"/>
          <w:w w:val="130"/>
          <w:sz w:val="11"/>
        </w:rPr>
        <w:t>shed,HVAC</w:t>
        <w:tab/>
      </w:r>
      <w:r>
        <w:rPr>
          <w:rFonts w:ascii="Times New Roman"/>
          <w:color w:val="000101"/>
          <w:w w:val="130"/>
          <w:sz w:val="20"/>
        </w:rPr>
        <w:t>s</w:t>
        <w:tab/>
      </w:r>
      <w:r>
        <w:rPr>
          <w:rFonts w:ascii="Times New Roman"/>
          <w:color w:val="000101"/>
          <w:w w:val="130"/>
          <w:sz w:val="12"/>
        </w:rPr>
        <w:t>300.000  </w:t>
      </w:r>
      <w:r>
        <w:rPr>
          <w:rFonts w:ascii="Times New Roman"/>
          <w:color w:val="000101"/>
          <w:spacing w:val="30"/>
          <w:w w:val="130"/>
          <w:sz w:val="12"/>
        </w:rPr>
        <w:t> </w:t>
      </w:r>
      <w:r>
        <w:rPr>
          <w:color w:val="000101"/>
          <w:w w:val="130"/>
          <w:sz w:val="11"/>
        </w:rPr>
        <w:t>(roof.flooril""IA.mairt</w:t>
      </w:r>
      <w:r>
        <w:rPr>
          <w:color w:val="000101"/>
          <w:spacing w:val="-17"/>
          <w:w w:val="130"/>
          <w:sz w:val="11"/>
        </w:rPr>
        <w:t> </w:t>
      </w:r>
      <w:r>
        <w:rPr>
          <w:color w:val="000101"/>
          <w:w w:val="130"/>
          <w:sz w:val="11"/>
        </w:rPr>
        <w:t>shed,HVACetc.</w:t>
        <w:tab/>
      </w:r>
      <w:r>
        <w:rPr>
          <w:rFonts w:ascii="Times New Roman"/>
          <w:color w:val="000101"/>
          <w:spacing w:val="-1"/>
          <w:w w:val="130"/>
          <w:sz w:val="20"/>
        </w:rPr>
        <w:t>s</w:t>
      </w:r>
    </w:p>
    <w:p>
      <w:pPr>
        <w:tabs>
          <w:tab w:pos="4813" w:val="left" w:leader="none"/>
          <w:tab w:pos="5263" w:val="left" w:leader="none"/>
          <w:tab w:pos="8180" w:val="left" w:leader="none"/>
          <w:tab w:pos="8630" w:val="left" w:leader="none"/>
          <w:tab w:pos="11803" w:val="left" w:leader="none"/>
          <w:tab w:pos="12242" w:val="left" w:leader="none"/>
        </w:tabs>
        <w:spacing w:line="134" w:lineRule="exact" w:before="0"/>
        <w:ind w:left="2866" w:right="0" w:firstLine="0"/>
        <w:jc w:val="left"/>
        <w:rPr>
          <w:rFonts w:ascii="Times New Roman"/>
          <w:sz w:val="12"/>
        </w:rPr>
      </w:pPr>
      <w:r>
        <w:rPr>
          <w:color w:val="000101"/>
          <w:w w:val="130"/>
          <w:position w:val="1"/>
          <w:sz w:val="11"/>
        </w:rPr>
        <w:t>Assig,edtor</w:t>
      </w:r>
      <w:r>
        <w:rPr>
          <w:color w:val="000101"/>
          <w:spacing w:val="-3"/>
          <w:w w:val="130"/>
          <w:position w:val="1"/>
          <w:sz w:val="11"/>
        </w:rPr>
        <w:t> </w:t>
      </w:r>
      <w:r>
        <w:rPr>
          <w:rFonts w:ascii="Times New Roman"/>
          <w:color w:val="000101"/>
          <w:w w:val="120"/>
          <w:position w:val="1"/>
          <w:sz w:val="18"/>
        </w:rPr>
        <w:t>a.as</w:t>
      </w:r>
      <w:r>
        <w:rPr>
          <w:rFonts w:ascii="Times New Roman"/>
          <w:color w:val="000101"/>
          <w:spacing w:val="-32"/>
          <w:w w:val="120"/>
          <w:position w:val="1"/>
          <w:sz w:val="18"/>
        </w:rPr>
        <w:t> </w:t>
      </w:r>
      <w:r>
        <w:rPr>
          <w:color w:val="000101"/>
          <w:w w:val="130"/>
          <w:position w:val="1"/>
          <w:sz w:val="11"/>
        </w:rPr>
        <w:t>Pu-chase</w:t>
        <w:tab/>
      </w:r>
      <w:r>
        <w:rPr>
          <w:rFonts w:ascii="Times New Roman"/>
          <w:color w:val="000101"/>
          <w:w w:val="130"/>
          <w:sz w:val="20"/>
        </w:rPr>
        <w:t>s</w:t>
        <w:tab/>
      </w:r>
      <w:r>
        <w:rPr>
          <w:rFonts w:ascii="Times New Roman"/>
          <w:color w:val="000101"/>
          <w:w w:val="130"/>
          <w:sz w:val="12"/>
        </w:rPr>
        <w:t>100.000</w:t>
        <w:tab/>
      </w:r>
      <w:r>
        <w:rPr>
          <w:rFonts w:ascii="Times New Roman"/>
          <w:color w:val="000101"/>
          <w:w w:val="130"/>
          <w:sz w:val="20"/>
        </w:rPr>
        <w:t>s</w:t>
        <w:tab/>
      </w:r>
      <w:r>
        <w:rPr>
          <w:rFonts w:ascii="Times New Roman"/>
          <w:color w:val="000101"/>
          <w:w w:val="130"/>
          <w:sz w:val="12"/>
        </w:rPr>
        <w:t>100.000</w:t>
        <w:tab/>
      </w:r>
      <w:r>
        <w:rPr>
          <w:rFonts w:ascii="Times New Roman"/>
          <w:color w:val="000101"/>
          <w:w w:val="130"/>
          <w:sz w:val="20"/>
        </w:rPr>
        <w:t>s</w:t>
        <w:tab/>
      </w:r>
      <w:r>
        <w:rPr>
          <w:rFonts w:ascii="Times New Roman"/>
          <w:color w:val="000101"/>
          <w:w w:val="130"/>
          <w:sz w:val="12"/>
        </w:rPr>
        <w:t>100.000</w:t>
      </w:r>
    </w:p>
    <w:p>
      <w:pPr>
        <w:tabs>
          <w:tab w:pos="2762" w:val="left" w:leader="none"/>
          <w:tab w:pos="6129" w:val="left" w:leader="none"/>
          <w:tab w:pos="9752" w:val="left" w:leader="none"/>
        </w:tabs>
        <w:spacing w:line="133" w:lineRule="exact" w:before="0"/>
        <w:ind w:left="0" w:right="441" w:firstLine="0"/>
        <w:jc w:val="center"/>
        <w:rPr>
          <w:rFonts w:ascii="Times New Roman"/>
          <w:sz w:val="20"/>
        </w:rPr>
      </w:pPr>
      <w:r>
        <w:rPr>
          <w:color w:val="000101"/>
          <w:w w:val="135"/>
          <w:sz w:val="11"/>
        </w:rPr>
        <w:t>Assig,edtor</w:t>
      </w:r>
      <w:r>
        <w:rPr>
          <w:color w:val="000101"/>
          <w:spacing w:val="-1"/>
          <w:w w:val="135"/>
          <w:sz w:val="11"/>
        </w:rPr>
        <w:t> </w:t>
      </w:r>
      <w:r>
        <w:rPr>
          <w:color w:val="000101"/>
          <w:w w:val="135"/>
          <w:sz w:val="11"/>
        </w:rPr>
        <w:t>NewOassroorns/Portables</w:t>
        <w:tab/>
      </w:r>
      <w:r>
        <w:rPr>
          <w:rFonts w:ascii="Times New Roman"/>
          <w:color w:val="000101"/>
          <w:w w:val="135"/>
          <w:sz w:val="20"/>
        </w:rPr>
        <w:t>s</w:t>
        <w:tab/>
        <w:t>s</w:t>
        <w:tab/>
        <w:t>s</w:t>
      </w:r>
    </w:p>
    <w:p>
      <w:pPr>
        <w:tabs>
          <w:tab w:pos="3345" w:val="left" w:leader="none"/>
          <w:tab w:pos="3791" w:val="left" w:leader="none"/>
          <w:tab w:pos="6712" w:val="left" w:leader="none"/>
          <w:tab w:pos="7158" w:val="left" w:leader="none"/>
          <w:tab w:pos="10335" w:val="left" w:leader="none"/>
          <w:tab w:pos="10770" w:val="left" w:leader="none"/>
        </w:tabs>
        <w:spacing w:line="138" w:lineRule="exact" w:before="0"/>
        <w:ind w:left="0" w:right="208" w:firstLine="0"/>
        <w:jc w:val="center"/>
        <w:rPr>
          <w:rFonts w:ascii="Times New Roman"/>
          <w:sz w:val="12"/>
        </w:rPr>
      </w:pPr>
      <w:r>
        <w:rPr>
          <w:color w:val="000101"/>
          <w:w w:val="135"/>
          <w:sz w:val="11"/>
        </w:rPr>
        <w:t>Assig,edtor 2 ),ears </w:t>
      </w:r>
      <w:r>
        <w:rPr>
          <w:rFonts w:ascii="Times New Roman"/>
          <w:color w:val="000101"/>
          <w:w w:val="135"/>
          <w:sz w:val="12"/>
        </w:rPr>
        <w:t>of </w:t>
      </w:r>
      <w:r>
        <w:rPr>
          <w:color w:val="000101"/>
          <w:w w:val="135"/>
          <w:sz w:val="11"/>
        </w:rPr>
        <w:t>R.tu-e</w:t>
      </w:r>
      <w:r>
        <w:rPr>
          <w:color w:val="000101"/>
          <w:spacing w:val="-19"/>
          <w:w w:val="135"/>
          <w:sz w:val="11"/>
        </w:rPr>
        <w:t> </w:t>
      </w:r>
      <w:r>
        <w:rPr>
          <w:color w:val="000101"/>
          <w:w w:val="135"/>
          <w:sz w:val="11"/>
        </w:rPr>
        <w:t>Chuter</w:t>
      </w:r>
      <w:r>
        <w:rPr>
          <w:color w:val="000101"/>
          <w:spacing w:val="-1"/>
          <w:w w:val="135"/>
          <w:sz w:val="11"/>
        </w:rPr>
        <w:t> </w:t>
      </w:r>
      <w:r>
        <w:rPr>
          <w:color w:val="000101"/>
          <w:w w:val="135"/>
          <w:sz w:val="11"/>
        </w:rPr>
        <w:t>Reverues</w:t>
        <w:tab/>
      </w:r>
      <w:r>
        <w:rPr>
          <w:rFonts w:ascii="Times New Roman"/>
          <w:color w:val="000101"/>
          <w:w w:val="135"/>
          <w:position w:val="-1"/>
          <w:sz w:val="20"/>
        </w:rPr>
        <w:t>s</w:t>
        <w:tab/>
      </w:r>
      <w:r>
        <w:rPr>
          <w:rFonts w:ascii="Times New Roman"/>
          <w:color w:val="000101"/>
          <w:w w:val="135"/>
          <w:position w:val="0"/>
          <w:sz w:val="12"/>
        </w:rPr>
        <w:t>5"2.910</w:t>
        <w:tab/>
      </w:r>
      <w:r>
        <w:rPr>
          <w:rFonts w:ascii="Times New Roman"/>
          <w:color w:val="000101"/>
          <w:w w:val="135"/>
          <w:position w:val="0"/>
          <w:sz w:val="20"/>
        </w:rPr>
        <w:t>s</w:t>
        <w:tab/>
      </w:r>
      <w:r>
        <w:rPr>
          <w:rFonts w:ascii="Times New Roman"/>
          <w:color w:val="000101"/>
          <w:w w:val="135"/>
          <w:position w:val="0"/>
          <w:sz w:val="12"/>
        </w:rPr>
        <w:t>5"2.910</w:t>
        <w:tab/>
      </w:r>
      <w:r>
        <w:rPr>
          <w:rFonts w:ascii="Times New Roman"/>
          <w:color w:val="000101"/>
          <w:w w:val="135"/>
          <w:position w:val="-1"/>
          <w:sz w:val="20"/>
        </w:rPr>
        <w:t>s</w:t>
        <w:tab/>
      </w:r>
      <w:r>
        <w:rPr>
          <w:rFonts w:ascii="Times New Roman"/>
          <w:color w:val="000101"/>
          <w:w w:val="135"/>
          <w:position w:val="0"/>
          <w:sz w:val="12"/>
        </w:rPr>
        <w:t>5"2.910</w:t>
      </w:r>
    </w:p>
    <w:p>
      <w:pPr>
        <w:tabs>
          <w:tab w:pos="2121" w:val="left" w:leader="none"/>
          <w:tab w:pos="5488" w:val="left" w:leader="none"/>
          <w:tab w:pos="9112" w:val="left" w:leader="none"/>
        </w:tabs>
        <w:spacing w:line="135" w:lineRule="exact" w:before="0"/>
        <w:ind w:left="0" w:right="2488" w:firstLine="0"/>
        <w:jc w:val="right"/>
        <w:rPr>
          <w:rFonts w:ascii="Times New Roman"/>
          <w:sz w:val="20"/>
        </w:rPr>
      </w:pPr>
      <w:r>
        <w:rPr>
          <w:color w:val="000101"/>
          <w:w w:val="135"/>
          <w:sz w:val="11"/>
        </w:rPr>
        <w:t>Assig,edtor</w:t>
      </w:r>
      <w:r>
        <w:rPr>
          <w:color w:val="000101"/>
          <w:spacing w:val="-7"/>
          <w:w w:val="135"/>
          <w:sz w:val="11"/>
        </w:rPr>
        <w:t> </w:t>
      </w:r>
      <w:r>
        <w:rPr>
          <w:color w:val="000101"/>
          <w:w w:val="135"/>
          <w:sz w:val="11"/>
        </w:rPr>
        <w:t>Restroom</w:t>
      </w:r>
      <w:r>
        <w:rPr>
          <w:color w:val="000101"/>
          <w:spacing w:val="-28"/>
          <w:w w:val="135"/>
          <w:sz w:val="11"/>
        </w:rPr>
        <w:t> </w:t>
      </w:r>
      <w:r>
        <w:rPr>
          <w:color w:val="000101"/>
          <w:w w:val="135"/>
          <w:sz w:val="11"/>
        </w:rPr>
        <w:t>Rehab</w:t>
        <w:tab/>
      </w:r>
      <w:r>
        <w:rPr>
          <w:rFonts w:ascii="Times New Roman"/>
          <w:color w:val="000101"/>
          <w:w w:val="135"/>
          <w:position w:val="-1"/>
          <w:sz w:val="20"/>
        </w:rPr>
        <w:t>s</w:t>
        <w:tab/>
      </w:r>
      <w:r>
        <w:rPr>
          <w:rFonts w:ascii="Times New Roman"/>
          <w:color w:val="000101"/>
          <w:w w:val="135"/>
          <w:position w:val="0"/>
          <w:sz w:val="20"/>
        </w:rPr>
        <w:t>s</w:t>
        <w:tab/>
      </w:r>
      <w:r>
        <w:rPr>
          <w:rFonts w:ascii="Times New Roman"/>
          <w:color w:val="000101"/>
          <w:spacing w:val="-1"/>
          <w:w w:val="135"/>
          <w:position w:val="-1"/>
          <w:sz w:val="20"/>
        </w:rPr>
        <w:t>s</w:t>
      </w:r>
    </w:p>
    <w:p>
      <w:pPr>
        <w:tabs>
          <w:tab w:pos="1982" w:val="left" w:leader="none"/>
          <w:tab w:pos="5349" w:val="left" w:leader="none"/>
          <w:tab w:pos="8972" w:val="left" w:leader="none"/>
        </w:tabs>
        <w:spacing w:line="130" w:lineRule="exact" w:before="0"/>
        <w:ind w:left="0" w:right="2472" w:firstLine="0"/>
        <w:jc w:val="right"/>
        <w:rPr>
          <w:rFonts w:ascii="Times New Roman"/>
          <w:sz w:val="20"/>
        </w:rPr>
      </w:pPr>
      <w:r>
        <w:rPr>
          <w:color w:val="000101"/>
          <w:w w:val="150"/>
          <w:position w:val="1"/>
          <w:sz w:val="11"/>
        </w:rPr>
        <w:t>Assig,,edtor</w:t>
      </w:r>
      <w:r>
        <w:rPr>
          <w:color w:val="000101"/>
          <w:spacing w:val="-36"/>
          <w:w w:val="150"/>
          <w:position w:val="1"/>
          <w:sz w:val="11"/>
        </w:rPr>
        <w:t> </w:t>
      </w:r>
      <w:r>
        <w:rPr>
          <w:color w:val="000101"/>
          <w:w w:val="150"/>
          <w:position w:val="1"/>
          <w:sz w:val="11"/>
        </w:rPr>
        <w:t>Metal</w:t>
      </w:r>
      <w:r>
        <w:rPr>
          <w:color w:val="000101"/>
          <w:spacing w:val="-35"/>
          <w:w w:val="150"/>
          <w:position w:val="1"/>
          <w:sz w:val="11"/>
        </w:rPr>
        <w:t> </w:t>
      </w:r>
      <w:r>
        <w:rPr>
          <w:color w:val="000101"/>
          <w:w w:val="150"/>
          <w:position w:val="1"/>
          <w:sz w:val="11"/>
        </w:rPr>
        <w:t>BUldng</w:t>
        <w:tab/>
      </w:r>
      <w:r>
        <w:rPr>
          <w:rFonts w:ascii="Times New Roman"/>
          <w:color w:val="000101"/>
          <w:w w:val="150"/>
          <w:sz w:val="20"/>
        </w:rPr>
        <w:t>s</w:t>
        <w:tab/>
        <w:t>s</w:t>
        <w:tab/>
        <w:t>s</w:t>
      </w:r>
    </w:p>
    <w:p>
      <w:pPr>
        <w:tabs>
          <w:tab w:pos="1149" w:val="left" w:leader="none"/>
          <w:tab w:pos="4516" w:val="left" w:leader="none"/>
          <w:tab w:pos="8139" w:val="left" w:leader="none"/>
        </w:tabs>
        <w:spacing w:line="135" w:lineRule="exact" w:before="0"/>
        <w:ind w:left="0" w:right="2490" w:firstLine="0"/>
        <w:jc w:val="right"/>
        <w:rPr>
          <w:rFonts w:ascii="Times New Roman"/>
          <w:sz w:val="20"/>
        </w:rPr>
      </w:pPr>
      <w:r>
        <w:rPr>
          <w:color w:val="000101"/>
          <w:w w:val="135"/>
          <w:sz w:val="12"/>
        </w:rPr>
        <w:t>OiildNl.trition</w:t>
        <w:tab/>
      </w:r>
      <w:r>
        <w:rPr>
          <w:rFonts w:ascii="Times New Roman"/>
          <w:color w:val="000101"/>
          <w:w w:val="135"/>
          <w:sz w:val="20"/>
        </w:rPr>
        <w:t>s</w:t>
        <w:tab/>
        <w:t>s</w:t>
        <w:tab/>
      </w:r>
      <w:r>
        <w:rPr>
          <w:rFonts w:ascii="Times New Roman"/>
          <w:color w:val="000101"/>
          <w:spacing w:val="-1"/>
          <w:w w:val="130"/>
          <w:sz w:val="20"/>
        </w:rPr>
        <w:t>s</w:t>
      </w:r>
    </w:p>
    <w:p>
      <w:pPr>
        <w:tabs>
          <w:tab w:pos="4813" w:val="left" w:leader="none"/>
          <w:tab w:pos="8180" w:val="left" w:leader="none"/>
          <w:tab w:pos="11803" w:val="left" w:leader="none"/>
        </w:tabs>
        <w:spacing w:line="139" w:lineRule="exact" w:before="0"/>
        <w:ind w:left="4099" w:right="0" w:firstLine="0"/>
        <w:jc w:val="left"/>
        <w:rPr>
          <w:rFonts w:ascii="Times New Roman"/>
          <w:sz w:val="20"/>
        </w:rPr>
      </w:pPr>
      <w:r>
        <w:rPr>
          <w:rFonts w:ascii="Times New Roman"/>
          <w:color w:val="000101"/>
          <w:w w:val="140"/>
          <w:position w:val="1"/>
          <w:sz w:val="12"/>
        </w:rPr>
        <w:t>Prop39</w:t>
        <w:tab/>
      </w:r>
      <w:r>
        <w:rPr>
          <w:rFonts w:ascii="Times New Roman"/>
          <w:color w:val="000101"/>
          <w:w w:val="140"/>
          <w:position w:val="1"/>
          <w:sz w:val="20"/>
        </w:rPr>
        <w:t>s</w:t>
        <w:tab/>
      </w:r>
      <w:r>
        <w:rPr>
          <w:rFonts w:ascii="Times New Roman"/>
          <w:color w:val="000101"/>
          <w:w w:val="140"/>
          <w:sz w:val="20"/>
        </w:rPr>
        <w:t>s</w:t>
        <w:tab/>
      </w:r>
      <w:r>
        <w:rPr>
          <w:rFonts w:ascii="Times New Roman"/>
          <w:color w:val="000101"/>
          <w:w w:val="140"/>
          <w:position w:val="1"/>
          <w:sz w:val="20"/>
        </w:rPr>
        <w:t>s</w:t>
      </w:r>
    </w:p>
    <w:p>
      <w:pPr>
        <w:tabs>
          <w:tab w:pos="5403" w:val="left" w:leader="none"/>
          <w:tab w:pos="8180" w:val="left" w:leader="none"/>
          <w:tab w:pos="8770" w:val="left" w:leader="none"/>
          <w:tab w:pos="11803" w:val="left" w:leader="none"/>
          <w:tab w:pos="12393" w:val="left" w:leader="none"/>
        </w:tabs>
        <w:spacing w:line="27" w:lineRule="exact" w:before="0"/>
        <w:ind w:left="4813" w:right="0" w:firstLine="0"/>
        <w:jc w:val="left"/>
        <w:rPr>
          <w:rFonts w:ascii="Times New Roman"/>
          <w:sz w:val="12"/>
        </w:rPr>
      </w:pPr>
      <w:r>
        <w:rPr>
          <w:rFonts w:ascii="Times New Roman"/>
          <w:color w:val="000101"/>
          <w:w w:val="130"/>
          <w:sz w:val="20"/>
        </w:rPr>
        <w:t>s</w:t>
        <w:tab/>
      </w:r>
      <w:r>
        <w:rPr>
          <w:rFonts w:ascii="Times New Roman"/>
          <w:color w:val="000101"/>
          <w:w w:val="130"/>
          <w:sz w:val="12"/>
        </w:rPr>
        <w:t>4.323</w:t>
        <w:tab/>
      </w:r>
      <w:r>
        <w:rPr>
          <w:rFonts w:ascii="Times New Roman"/>
          <w:color w:val="000101"/>
          <w:w w:val="130"/>
          <w:sz w:val="20"/>
        </w:rPr>
        <w:t>s</w:t>
        <w:tab/>
      </w:r>
      <w:r>
        <w:rPr>
          <w:rFonts w:ascii="Times New Roman"/>
          <w:color w:val="000101"/>
          <w:w w:val="130"/>
          <w:sz w:val="12"/>
        </w:rPr>
        <w:t>4.324</w:t>
        <w:tab/>
      </w:r>
      <w:r>
        <w:rPr>
          <w:rFonts w:ascii="Times New Roman"/>
          <w:color w:val="000101"/>
          <w:w w:val="130"/>
          <w:sz w:val="20"/>
        </w:rPr>
        <w:t>s</w:t>
        <w:tab/>
      </w:r>
      <w:r>
        <w:rPr>
          <w:rFonts w:ascii="Times New Roman"/>
          <w:color w:val="000101"/>
          <w:w w:val="130"/>
          <w:position w:val="1"/>
          <w:sz w:val="12"/>
        </w:rPr>
        <w:t>4,324</w:t>
      </w:r>
    </w:p>
    <w:p>
      <w:pPr>
        <w:spacing w:after="0" w:line="27" w:lineRule="exact"/>
        <w:jc w:val="left"/>
        <w:rPr>
          <w:rFonts w:ascii="Times New Roman"/>
          <w:sz w:val="12"/>
        </w:rPr>
        <w:sectPr>
          <w:pgSz w:w="14400" w:h="9360" w:orient="landscape"/>
          <w:pgMar w:top="0" w:bottom="0" w:left="0" w:right="0"/>
        </w:sectPr>
      </w:pPr>
    </w:p>
    <w:p>
      <w:pPr>
        <w:spacing w:line="129" w:lineRule="exact" w:before="0"/>
        <w:ind w:left="3427" w:right="0" w:firstLine="0"/>
        <w:jc w:val="left"/>
        <w:rPr>
          <w:sz w:val="12"/>
        </w:rPr>
      </w:pPr>
      <w:r>
        <w:rPr>
          <w:color w:val="000101"/>
          <w:w w:val="125"/>
          <w:sz w:val="12"/>
        </w:rPr>
        <w:t>RestrictedLottel')I</w:t>
      </w:r>
    </w:p>
    <w:p>
      <w:pPr>
        <w:spacing w:line="58" w:lineRule="exact" w:before="0"/>
        <w:ind w:left="3443" w:right="0" w:firstLine="0"/>
        <w:jc w:val="left"/>
        <w:rPr>
          <w:sz w:val="11"/>
        </w:rPr>
      </w:pPr>
      <w:r>
        <w:rPr>
          <w:color w:val="000101"/>
          <w:w w:val="120"/>
          <w:sz w:val="11"/>
        </w:rPr>
        <w:t>Special</w:t>
      </w:r>
      <w:r>
        <w:rPr>
          <w:color w:val="000101"/>
          <w:spacing w:val="18"/>
          <w:w w:val="120"/>
          <w:sz w:val="11"/>
        </w:rPr>
        <w:t> </w:t>
      </w:r>
      <w:r>
        <w:rPr>
          <w:color w:val="000101"/>
          <w:w w:val="120"/>
          <w:sz w:val="11"/>
        </w:rPr>
        <w:t>Ed..Jcation</w:t>
      </w:r>
    </w:p>
    <w:p>
      <w:pPr>
        <w:tabs>
          <w:tab w:pos="3528" w:val="left" w:leader="none"/>
          <w:tab w:pos="7151" w:val="left" w:leader="none"/>
        </w:tabs>
        <w:spacing w:line="136" w:lineRule="exact" w:before="51"/>
        <w:ind w:left="161" w:right="0" w:firstLine="0"/>
        <w:jc w:val="left"/>
        <w:rPr>
          <w:rFonts w:ascii="Times New Roman"/>
          <w:sz w:val="20"/>
        </w:rPr>
      </w:pPr>
      <w:r>
        <w:rPr/>
        <w:br w:type="column"/>
      </w:r>
      <w:r>
        <w:rPr>
          <w:rFonts w:ascii="Times New Roman"/>
          <w:color w:val="000101"/>
          <w:w w:val="120"/>
          <w:sz w:val="20"/>
        </w:rPr>
        <w:t>s</w:t>
        <w:tab/>
        <w:t>s</w:t>
        <w:tab/>
        <w:t>s</w:t>
      </w:r>
    </w:p>
    <w:p>
      <w:pPr>
        <w:spacing w:after="0" w:line="136" w:lineRule="exact"/>
        <w:jc w:val="left"/>
        <w:rPr>
          <w:rFonts w:ascii="Times New Roman"/>
          <w:sz w:val="20"/>
        </w:rPr>
        <w:sectPr>
          <w:type w:val="continuous"/>
          <w:pgSz w:w="14400" w:h="9360" w:orient="landscape"/>
          <w:pgMar w:top="0" w:bottom="0" w:left="0" w:right="0"/>
          <w:cols w:num="2" w:equalWidth="0">
            <w:col w:w="4612" w:space="40"/>
            <w:col w:w="9748"/>
          </w:cols>
        </w:sectPr>
      </w:pPr>
    </w:p>
    <w:p>
      <w:pPr>
        <w:tabs>
          <w:tab w:pos="3164" w:val="left" w:leader="none"/>
          <w:tab w:pos="3672" w:val="left" w:leader="none"/>
          <w:tab w:pos="6531" w:val="left" w:leader="none"/>
          <w:tab w:pos="7039" w:val="left" w:leader="none"/>
          <w:tab w:pos="10154" w:val="left" w:leader="none"/>
          <w:tab w:pos="10651" w:val="left" w:leader="none"/>
        </w:tabs>
        <w:spacing w:line="184" w:lineRule="exact" w:before="0"/>
        <w:ind w:left="143" w:right="0" w:firstLine="0"/>
        <w:jc w:val="center"/>
        <w:rPr>
          <w:rFonts w:ascii="Times New Roman"/>
          <w:sz w:val="12"/>
        </w:rPr>
      </w:pPr>
      <w:r>
        <w:rPr/>
        <w:pict>
          <v:group style="position:absolute;margin-left:0pt;margin-top:0pt;width:720pt;height:344.3pt;mso-position-horizontal-relative:page;mso-position-vertical-relative:page;z-index:-252107776" coordorigin="0,0" coordsize="14400,6886">
            <v:shape style="position:absolute;left:0;top:478;width:14400;height:6408" type="#_x0000_t75" stroked="false">
              <v:imagedata r:id="rId15" o:title=""/>
            </v:shape>
            <v:shape style="position:absolute;left:5;top:0;width:2;height:981" coordorigin="6,0" coordsize="0,981" path="m6,0l6,502m6,642l6,980e" filled="false" stroked="true" strokeweight=".582518pt" strokecolor="#000000">
              <v:path arrowok="t"/>
              <v:stroke dashstyle="solid"/>
            </v:shape>
            <v:line style="position:absolute" from="0,572" to="6571,572" stroked="true" strokeweight="7.002323pt" strokecolor="#000000">
              <v:stroke dashstyle="solid"/>
            </v:line>
            <v:line style="position:absolute" from="2889,6711" to="4544,6711" stroked="true" strokeweight="1.167054pt" strokecolor="#000000">
              <v:stroke dashstyle="solid"/>
            </v:line>
            <w10:wrap type="none"/>
          </v:group>
        </w:pict>
      </w:r>
      <w:r>
        <w:rPr>
          <w:color w:val="000101"/>
          <w:w w:val="140"/>
          <w:position w:val="1"/>
          <w:sz w:val="11"/>
        </w:rPr>
        <w:t>Wnship</w:t>
      </w:r>
      <w:r>
        <w:rPr>
          <w:color w:val="000101"/>
          <w:spacing w:val="-39"/>
          <w:w w:val="140"/>
          <w:position w:val="1"/>
          <w:sz w:val="11"/>
        </w:rPr>
        <w:t> </w:t>
      </w:r>
      <w:r>
        <w:rPr>
          <w:color w:val="000101"/>
          <w:w w:val="140"/>
          <w:position w:val="1"/>
          <w:sz w:val="11"/>
        </w:rPr>
        <w:t>Vll:rter</w:t>
      </w:r>
      <w:r>
        <w:rPr>
          <w:color w:val="000101"/>
          <w:spacing w:val="-36"/>
          <w:w w:val="140"/>
          <w:position w:val="1"/>
          <w:sz w:val="11"/>
        </w:rPr>
        <w:t> </w:t>
      </w:r>
      <w:r>
        <w:rPr>
          <w:color w:val="000101"/>
          <w:w w:val="140"/>
          <w:position w:val="1"/>
          <w:sz w:val="11"/>
        </w:rPr>
        <w:t>"'-ell</w:t>
      </w:r>
      <w:r>
        <w:rPr>
          <w:color w:val="000101"/>
          <w:spacing w:val="-24"/>
          <w:w w:val="140"/>
          <w:position w:val="1"/>
          <w:sz w:val="11"/>
        </w:rPr>
        <w:t> </w:t>
      </w:r>
      <w:r>
        <w:rPr>
          <w:rFonts w:ascii="Times New Roman"/>
          <w:color w:val="000101"/>
          <w:w w:val="140"/>
          <w:position w:val="1"/>
          <w:sz w:val="12"/>
        </w:rPr>
        <w:t>&amp;</w:t>
      </w:r>
      <w:r>
        <w:rPr>
          <w:color w:val="000101"/>
          <w:w w:val="140"/>
          <w:position w:val="1"/>
          <w:sz w:val="11"/>
        </w:rPr>
        <w:t>Drinking\Nater</w:t>
      </w:r>
      <w:r>
        <w:rPr>
          <w:color w:val="000101"/>
          <w:spacing w:val="-26"/>
          <w:w w:val="140"/>
          <w:position w:val="1"/>
          <w:sz w:val="11"/>
        </w:rPr>
        <w:t> </w:t>
      </w:r>
      <w:r>
        <w:rPr>
          <w:color w:val="000101"/>
          <w:w w:val="140"/>
          <w:position w:val="1"/>
          <w:sz w:val="11"/>
        </w:rPr>
        <w:t>Grarts</w:t>
        <w:tab/>
      </w:r>
      <w:r>
        <w:rPr>
          <w:rFonts w:ascii="Times New Roman"/>
          <w:color w:val="000101"/>
          <w:w w:val="140"/>
          <w:sz w:val="20"/>
        </w:rPr>
        <w:t>s</w:t>
        <w:tab/>
      </w:r>
      <w:r>
        <w:rPr>
          <w:rFonts w:ascii="Times New Roman"/>
          <w:color w:val="000101"/>
          <w:w w:val="140"/>
          <w:position w:val="1"/>
          <w:sz w:val="12"/>
        </w:rPr>
        <w:t>11.584</w:t>
        <w:tab/>
      </w:r>
      <w:r>
        <w:rPr>
          <w:rFonts w:ascii="Times New Roman"/>
          <w:color w:val="000101"/>
          <w:w w:val="140"/>
          <w:position w:val="1"/>
          <w:sz w:val="20"/>
        </w:rPr>
        <w:t>s</w:t>
        <w:tab/>
      </w:r>
      <w:r>
        <w:rPr>
          <w:rFonts w:ascii="Times New Roman"/>
          <w:color w:val="000101"/>
          <w:w w:val="140"/>
          <w:position w:val="1"/>
          <w:sz w:val="12"/>
        </w:rPr>
        <w:t>11.584</w:t>
        <w:tab/>
      </w:r>
      <w:r>
        <w:rPr>
          <w:rFonts w:ascii="Times New Roman"/>
          <w:color w:val="000101"/>
          <w:w w:val="140"/>
          <w:sz w:val="20"/>
        </w:rPr>
        <w:t>s</w:t>
        <w:tab/>
      </w:r>
      <w:r>
        <w:rPr>
          <w:rFonts w:ascii="Times New Roman"/>
          <w:color w:val="000101"/>
          <w:w w:val="140"/>
          <w:position w:val="1"/>
          <w:sz w:val="12"/>
        </w:rPr>
        <w:t>11.584</w:t>
      </w:r>
    </w:p>
    <w:p>
      <w:pPr>
        <w:tabs>
          <w:tab w:pos="2561" w:val="left" w:leader="none"/>
          <w:tab w:pos="5928" w:val="left" w:leader="none"/>
          <w:tab w:pos="9551" w:val="left" w:leader="none"/>
        </w:tabs>
        <w:spacing w:line="133" w:lineRule="exact" w:before="0"/>
        <w:ind w:left="0" w:right="241" w:firstLine="0"/>
        <w:jc w:val="center"/>
        <w:rPr>
          <w:rFonts w:ascii="Times New Roman"/>
          <w:sz w:val="20"/>
        </w:rPr>
      </w:pPr>
      <w:r>
        <w:rPr>
          <w:color w:val="000101"/>
          <w:w w:val="125"/>
          <w:position w:val="1"/>
          <w:sz w:val="11"/>
        </w:rPr>
        <w:t>Low</w:t>
      </w:r>
      <w:r>
        <w:rPr>
          <w:color w:val="000101"/>
          <w:spacing w:val="-24"/>
          <w:w w:val="125"/>
          <w:position w:val="1"/>
          <w:sz w:val="11"/>
        </w:rPr>
        <w:t> </w:t>
      </w:r>
      <w:r>
        <w:rPr>
          <w:color w:val="000101"/>
          <w:w w:val="125"/>
          <w:position w:val="1"/>
          <w:sz w:val="12"/>
        </w:rPr>
        <w:t>Pertorn-ing</w:t>
      </w:r>
      <w:r>
        <w:rPr>
          <w:color w:val="000101"/>
          <w:spacing w:val="-21"/>
          <w:w w:val="125"/>
          <w:position w:val="1"/>
          <w:sz w:val="12"/>
        </w:rPr>
        <w:t> </w:t>
      </w:r>
      <w:r>
        <w:rPr>
          <w:color w:val="000101"/>
          <w:w w:val="125"/>
          <w:position w:val="1"/>
          <w:sz w:val="11"/>
        </w:rPr>
        <w:t>stl.lCS!rt</w:t>
      </w:r>
      <w:r>
        <w:rPr>
          <w:color w:val="000101"/>
          <w:spacing w:val="-7"/>
          <w:w w:val="125"/>
          <w:position w:val="1"/>
          <w:sz w:val="11"/>
        </w:rPr>
        <w:t> </w:t>
      </w:r>
      <w:r>
        <w:rPr>
          <w:color w:val="000101"/>
          <w:w w:val="125"/>
          <w:position w:val="1"/>
          <w:sz w:val="12"/>
        </w:rPr>
        <w:t>Block</w:t>
      </w:r>
      <w:r>
        <w:rPr>
          <w:color w:val="000101"/>
          <w:spacing w:val="-22"/>
          <w:w w:val="125"/>
          <w:position w:val="1"/>
          <w:sz w:val="12"/>
        </w:rPr>
        <w:t> </w:t>
      </w:r>
      <w:r>
        <w:rPr>
          <w:color w:val="000101"/>
          <w:spacing w:val="-5"/>
          <w:w w:val="125"/>
          <w:position w:val="1"/>
          <w:sz w:val="12"/>
        </w:rPr>
        <w:t>Gr</w:t>
      </w:r>
      <w:r>
        <w:rPr>
          <w:rFonts w:ascii="Times New Roman"/>
          <w:color w:val="000101"/>
          <w:spacing w:val="-5"/>
          <w:w w:val="125"/>
          <w:position w:val="1"/>
          <w:sz w:val="13"/>
        </w:rPr>
        <w:t>art</w:t>
        <w:tab/>
      </w:r>
      <w:r>
        <w:rPr>
          <w:rFonts w:ascii="Times New Roman"/>
          <w:color w:val="000101"/>
          <w:w w:val="125"/>
          <w:sz w:val="20"/>
        </w:rPr>
        <w:t>s</w:t>
        <w:tab/>
      </w:r>
      <w:r>
        <w:rPr>
          <w:rFonts w:ascii="Times New Roman"/>
          <w:color w:val="000101"/>
          <w:w w:val="125"/>
          <w:position w:val="1"/>
          <w:sz w:val="20"/>
        </w:rPr>
        <w:t>s</w:t>
        <w:tab/>
      </w:r>
      <w:r>
        <w:rPr>
          <w:rFonts w:ascii="Times New Roman"/>
          <w:color w:val="000101"/>
          <w:w w:val="125"/>
          <w:sz w:val="20"/>
        </w:rPr>
        <w:t>s</w:t>
      </w:r>
    </w:p>
    <w:p>
      <w:pPr>
        <w:tabs>
          <w:tab w:pos="4813" w:val="left" w:leader="none"/>
          <w:tab w:pos="8180" w:val="left" w:leader="none"/>
          <w:tab w:pos="11803" w:val="left" w:leader="none"/>
        </w:tabs>
        <w:spacing w:line="128" w:lineRule="exact" w:before="0"/>
        <w:ind w:left="4220" w:right="0" w:firstLine="0"/>
        <w:jc w:val="left"/>
        <w:rPr>
          <w:rFonts w:ascii="Times New Roman"/>
          <w:sz w:val="20"/>
        </w:rPr>
      </w:pPr>
      <w:r>
        <w:rPr>
          <w:b/>
          <w:color w:val="000101"/>
          <w:w w:val="110"/>
          <w:sz w:val="12"/>
        </w:rPr>
        <w:t>REAP</w:t>
        <w:tab/>
      </w:r>
      <w:r>
        <w:rPr>
          <w:rFonts w:ascii="Times New Roman"/>
          <w:color w:val="000101"/>
          <w:w w:val="110"/>
          <w:sz w:val="20"/>
        </w:rPr>
        <w:t>s</w:t>
        <w:tab/>
        <w:t>s</w:t>
        <w:tab/>
        <w:t>s</w:t>
      </w:r>
    </w:p>
    <w:p>
      <w:pPr>
        <w:tabs>
          <w:tab w:pos="5519" w:val="left" w:leader="none"/>
          <w:tab w:pos="8180" w:val="left" w:leader="none"/>
          <w:tab w:pos="11803" w:val="left" w:leader="none"/>
          <w:tab w:pos="12698" w:val="right" w:leader="none"/>
        </w:tabs>
        <w:spacing w:line="135" w:lineRule="exact" w:before="0"/>
        <w:ind w:left="4813" w:right="0" w:firstLine="0"/>
        <w:jc w:val="left"/>
        <w:rPr>
          <w:rFonts w:ascii="Times New Roman"/>
          <w:sz w:val="12"/>
        </w:rPr>
      </w:pPr>
      <w:r>
        <w:rPr/>
        <w:drawing>
          <wp:anchor distT="0" distB="0" distL="0" distR="0" allowOverlap="1" layoutInCell="1" locked="0" behindDoc="0" simplePos="0" relativeHeight="251696128">
            <wp:simplePos x="0" y="0"/>
            <wp:positionH relativeFrom="page">
              <wp:posOffset>1568372</wp:posOffset>
            </wp:positionH>
            <wp:positionV relativeFrom="paragraph">
              <wp:posOffset>23315</wp:posOffset>
            </wp:positionV>
            <wp:extent cx="1346432" cy="163037"/>
            <wp:effectExtent l="0" t="0" r="0" b="0"/>
            <wp:wrapNone/>
            <wp:docPr id="2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432" cy="163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000101"/>
          <w:w w:val="110"/>
          <w:sz w:val="20"/>
        </w:rPr>
        <w:t>s</w:t>
        <w:tab/>
      </w:r>
      <w:r>
        <w:rPr>
          <w:rFonts w:ascii="Times New Roman"/>
          <w:color w:val="000101"/>
          <w:w w:val="110"/>
          <w:sz w:val="12"/>
        </w:rPr>
        <w:t>151</w:t>
        <w:tab/>
      </w:r>
      <w:r>
        <w:rPr>
          <w:rFonts w:ascii="Times New Roman"/>
          <w:color w:val="000101"/>
          <w:w w:val="110"/>
          <w:sz w:val="20"/>
        </w:rPr>
        <w:t>s</w:t>
        <w:tab/>
        <w:t>s</w:t>
        <w:tab/>
      </w:r>
      <w:r>
        <w:rPr>
          <w:rFonts w:ascii="Times New Roman"/>
          <w:color w:val="000101"/>
          <w:w w:val="110"/>
          <w:sz w:val="12"/>
        </w:rPr>
        <w:t>151</w:t>
      </w:r>
    </w:p>
    <w:p>
      <w:pPr>
        <w:tabs>
          <w:tab w:pos="5520" w:val="left" w:leader="none"/>
          <w:tab w:pos="8180" w:val="left" w:leader="none"/>
          <w:tab w:pos="11803" w:val="left" w:leader="none"/>
          <w:tab w:pos="12699" w:val="right" w:leader="none"/>
        </w:tabs>
        <w:spacing w:line="171" w:lineRule="exact" w:before="0"/>
        <w:ind w:left="4813" w:right="0" w:firstLine="0"/>
        <w:jc w:val="left"/>
        <w:rPr>
          <w:rFonts w:ascii="Times New Roman"/>
          <w:sz w:val="12"/>
        </w:rPr>
      </w:pPr>
      <w:r>
        <w:rPr/>
        <w:drawing>
          <wp:anchor distT="0" distB="0" distL="0" distR="0" allowOverlap="1" layoutInCell="1" locked="0" behindDoc="0" simplePos="0" relativeHeight="251697152">
            <wp:simplePos x="0" y="0"/>
            <wp:positionH relativeFrom="page">
              <wp:posOffset>5097208</wp:posOffset>
            </wp:positionH>
            <wp:positionV relativeFrom="paragraph">
              <wp:posOffset>100598</wp:posOffset>
            </wp:positionV>
            <wp:extent cx="673216" cy="59432"/>
            <wp:effectExtent l="0" t="0" r="0" b="0"/>
            <wp:wrapNone/>
            <wp:docPr id="2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216" cy="59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98176">
            <wp:simplePos x="0" y="0"/>
            <wp:positionH relativeFrom="page">
              <wp:posOffset>7405378</wp:posOffset>
            </wp:positionH>
            <wp:positionV relativeFrom="paragraph">
              <wp:posOffset>100598</wp:posOffset>
            </wp:positionV>
            <wp:extent cx="688012" cy="59432"/>
            <wp:effectExtent l="0" t="0" r="0" b="0"/>
            <wp:wrapNone/>
            <wp:docPr id="2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012" cy="59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000101"/>
          <w:w w:val="110"/>
          <w:position w:val="1"/>
          <w:sz w:val="20"/>
        </w:rPr>
        <w:t>s</w:t>
        <w:tab/>
      </w:r>
      <w:r>
        <w:rPr>
          <w:rFonts w:ascii="Times New Roman"/>
          <w:color w:val="000101"/>
          <w:w w:val="110"/>
          <w:position w:val="1"/>
          <w:sz w:val="12"/>
        </w:rPr>
        <w:t>455</w:t>
        <w:tab/>
      </w:r>
      <w:r>
        <w:rPr>
          <w:rFonts w:ascii="Times New Roman"/>
          <w:color w:val="000101"/>
          <w:w w:val="110"/>
          <w:sz w:val="20"/>
        </w:rPr>
        <w:t>s</w:t>
        <w:tab/>
      </w:r>
      <w:r>
        <w:rPr>
          <w:rFonts w:ascii="Times New Roman"/>
          <w:color w:val="000101"/>
          <w:w w:val="110"/>
          <w:position w:val="1"/>
          <w:sz w:val="20"/>
        </w:rPr>
        <w:t>s</w:t>
        <w:tab/>
      </w:r>
      <w:r>
        <w:rPr>
          <w:rFonts w:ascii="Times New Roman"/>
          <w:color w:val="000101"/>
          <w:w w:val="110"/>
          <w:position w:val="1"/>
          <w:sz w:val="12"/>
        </w:rPr>
        <w:t>455</w:t>
      </w:r>
    </w:p>
    <w:p>
      <w:pPr>
        <w:tabs>
          <w:tab w:pos="5724" w:val="right" w:leader="none"/>
        </w:tabs>
        <w:spacing w:line="81" w:lineRule="exact" w:before="0"/>
        <w:ind w:left="2437" w:right="0" w:firstLine="0"/>
        <w:jc w:val="left"/>
        <w:rPr>
          <w:rFonts w:ascii="Times New Roman"/>
          <w:sz w:val="12"/>
        </w:rPr>
      </w:pPr>
      <w:r>
        <w:rPr>
          <w:color w:val="000101"/>
          <w:w w:val="120"/>
          <w:sz w:val="11"/>
        </w:rPr>
        <w:t>U'"lassi</w:t>
        <w:tab/>
      </w:r>
      <w:r>
        <w:rPr>
          <w:rFonts w:ascii="Times New Roman"/>
          <w:color w:val="000101"/>
          <w:w w:val="120"/>
          <w:sz w:val="12"/>
        </w:rPr>
        <w:t>933</w:t>
      </w:r>
      <w:r>
        <w:rPr>
          <w:rFonts w:ascii="Times New Roman"/>
          <w:color w:val="000101"/>
          <w:spacing w:val="-5"/>
          <w:w w:val="120"/>
          <w:sz w:val="12"/>
        </w:rPr>
        <w:t> </w:t>
      </w:r>
      <w:r>
        <w:rPr>
          <w:rFonts w:ascii="Times New Roman"/>
          <w:color w:val="000101"/>
          <w:w w:val="120"/>
          <w:sz w:val="12"/>
        </w:rPr>
        <w:t>180</w:t>
      </w:r>
    </w:p>
    <w:p>
      <w:pPr>
        <w:spacing w:after="0" w:line="81" w:lineRule="exact"/>
        <w:jc w:val="left"/>
        <w:rPr>
          <w:rFonts w:ascii="Times New Roman"/>
          <w:sz w:val="12"/>
        </w:rPr>
        <w:sectPr>
          <w:type w:val="continuous"/>
          <w:pgSz w:w="14400" w:h="9360" w:orient="landscape"/>
          <w:pgMar w:top="0" w:bottom="0" w:left="0" w:right="0"/>
        </w:sectPr>
      </w:pPr>
    </w:p>
    <w:p>
      <w:pPr>
        <w:pStyle w:val="Heading1"/>
        <w:spacing w:line="249" w:lineRule="auto" w:before="245"/>
        <w:ind w:right="3851"/>
      </w:pPr>
      <w:r>
        <w:rPr/>
        <w:pict>
          <v:group style="position:absolute;margin-left:666pt;margin-top:0pt;width:54pt;height:468pt;mso-position-horizontal-relative:page;mso-position-vertical-relative:page;z-index:251703296" coordorigin="13320,0" coordsize="1080,9360">
            <v:shape style="position:absolute;left:13319;top:0;width:1080;height:9360" coordorigin="13320,0" coordsize="1080,9360" path="m14400,8424l13320,8424,13320,9360,14400,9360,14400,8424m14400,0l13320,0,13320,7488,14400,7488,14400,0e" filled="true" fillcolor="#464646" stroked="false">
              <v:path arrowok="t"/>
              <v:fill type="solid"/>
            </v:shape>
            <v:rect style="position:absolute;left:13320;top:7488;width:1080;height:936" filled="true" fillcolor="#2da2be" stroked="false">
              <v:fill type="solid"/>
            </v:rect>
            <v:shape style="position:absolute;left:6825430;top:-4181979;width:438912;height:274726" coordorigin="6825431,-4181978" coordsize="438912,274726" path="m13526,8251l13491,8243,13462,8224,13443,8195,13436,8160,13436,7800,13436,7800,13443,7765,13462,7736,13491,7717,13526,7710m14210,7710l14227,7711,14244,7717,14260,7725,14274,7736,14285,7750,14293,7765,14298,7782,14300,7800,14300,8160,14293,8195,14274,8224,14245,8243,14210,8251e" filled="false" stroked="true" strokeweight="1.5pt" strokecolor="#ffffff">
              <v:path arrowok="t"/>
              <v:stroke dashstyle="solid"/>
            </v:shape>
            <v:shape style="position:absolute;left:13320;top:7488;width:1080;height:936" type="#_x0000_t202" filled="false" stroked="false">
              <v:textbox inset="0,0,0,0">
                <w:txbxContent>
                  <w:p>
                    <w:pPr>
                      <w:spacing w:before="282"/>
                      <w:ind w:left="347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16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DA1F28"/>
        </w:rPr>
        <w:t>Winship-Robbins Elementary School District Enrollment – ADA TRENDS</w:t>
      </w:r>
    </w:p>
    <w:p>
      <w:pPr>
        <w:spacing w:line="375" w:lineRule="exact" w:before="0"/>
        <w:ind w:left="981" w:right="2153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color w:val="DA1F28"/>
          <w:sz w:val="32"/>
        </w:rPr>
        <w:t>2020-2021 Adopted Budget</w:t>
      </w:r>
      <w:r>
        <w:rPr>
          <w:rFonts w:ascii="Cambria"/>
          <w:b/>
          <w:color w:val="DA1F28"/>
          <w:spacing w:val="64"/>
          <w:sz w:val="32"/>
        </w:rPr>
        <w:t> </w:t>
      </w:r>
      <w:r>
        <w:rPr>
          <w:rFonts w:ascii="Cambria"/>
          <w:b/>
          <w:color w:val="DA1F28"/>
          <w:sz w:val="32"/>
        </w:rPr>
        <w:t>Report</w:t>
      </w: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spacing w:before="9"/>
        <w:rPr>
          <w:rFonts w:ascii="Cambria"/>
          <w:b/>
          <w:sz w:val="27"/>
        </w:rPr>
      </w:pP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2505075</wp:posOffset>
            </wp:positionH>
            <wp:positionV relativeFrom="paragraph">
              <wp:posOffset>231907</wp:posOffset>
            </wp:positionV>
            <wp:extent cx="3418770" cy="1402079"/>
            <wp:effectExtent l="0" t="0" r="0" b="0"/>
            <wp:wrapTopAndBottom/>
            <wp:docPr id="2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8770" cy="140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16"/>
        </w:rPr>
      </w:pPr>
      <w:r>
        <w:rPr/>
        <w:drawing>
          <wp:anchor distT="0" distB="0" distL="0" distR="0" allowOverlap="1" layoutInCell="1" locked="0" behindDoc="0" simplePos="0" relativeHeight="42">
            <wp:simplePos x="0" y="0"/>
            <wp:positionH relativeFrom="page">
              <wp:posOffset>2013526</wp:posOffset>
            </wp:positionH>
            <wp:positionV relativeFrom="paragraph">
              <wp:posOffset>144182</wp:posOffset>
            </wp:positionV>
            <wp:extent cx="4397883" cy="2244280"/>
            <wp:effectExtent l="0" t="0" r="0" b="0"/>
            <wp:wrapTopAndBottom/>
            <wp:docPr id="2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7883" cy="224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Cambria"/>
          <w:b/>
          <w:sz w:val="35"/>
        </w:rPr>
      </w:pPr>
    </w:p>
    <w:p>
      <w:pPr>
        <w:pStyle w:val="BodyText"/>
        <w:ind w:left="450"/>
      </w:pPr>
      <w:r>
        <w:rPr/>
        <w:t>*For the first four years, CBEDS enrollment is used. For the current year, projected enrollment is used.</w:t>
      </w:r>
    </w:p>
    <w:sectPr>
      <w:pgSz w:w="14400" w:h="936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947" w:hanging="318"/>
      </w:pPr>
      <w:rPr>
        <w:rFonts w:hint="default" w:ascii="Arial" w:hAnsi="Arial" w:eastAsia="Arial" w:cs="Arial"/>
        <w:b/>
        <w:bCs/>
        <w:color w:val="2DA2BE"/>
        <w:spacing w:val="-12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2286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32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8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24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70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6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62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08" w:hanging="318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575" w:hanging="672"/>
      </w:pPr>
      <w:rPr>
        <w:rFonts w:hint="default" w:ascii="Arial" w:hAnsi="Arial" w:eastAsia="Arial" w:cs="Arial"/>
        <w:color w:val="2DA2BE"/>
        <w:spacing w:val="-24"/>
        <w:w w:val="100"/>
        <w:sz w:val="32"/>
        <w:szCs w:val="32"/>
      </w:rPr>
    </w:lvl>
    <w:lvl w:ilvl="1">
      <w:start w:val="0"/>
      <w:numFmt w:val="bullet"/>
      <w:lvlText w:val="•"/>
      <w:lvlJc w:val="left"/>
      <w:pPr>
        <w:ind w:left="1395" w:hanging="312"/>
      </w:pPr>
      <w:rPr>
        <w:rFonts w:hint="default" w:ascii="Arial" w:hAnsi="Arial" w:eastAsia="Arial" w:cs="Arial"/>
        <w:color w:val="2DA2BE"/>
        <w:spacing w:val="-19"/>
        <w:w w:val="100"/>
        <w:sz w:val="32"/>
        <w:szCs w:val="32"/>
      </w:rPr>
    </w:lvl>
    <w:lvl w:ilvl="2">
      <w:start w:val="0"/>
      <w:numFmt w:val="bullet"/>
      <w:lvlText w:val="•"/>
      <w:lvlJc w:val="left"/>
      <w:pPr>
        <w:ind w:left="3004" w:hanging="3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8" w:hanging="3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3" w:hanging="3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77" w:hanging="3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02" w:hanging="3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26" w:hanging="3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51" w:hanging="312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■"/>
      <w:lvlJc w:val="left"/>
      <w:pPr>
        <w:ind w:left="1513" w:hanging="567"/>
      </w:pPr>
      <w:rPr>
        <w:rFonts w:hint="default" w:ascii="Arial" w:hAnsi="Arial" w:eastAsia="Arial" w:cs="Arial"/>
        <w:color w:val="44B9E7"/>
        <w:spacing w:val="-14"/>
        <w:w w:val="100"/>
        <w:sz w:val="26"/>
        <w:szCs w:val="26"/>
      </w:rPr>
    </w:lvl>
    <w:lvl w:ilvl="1">
      <w:start w:val="0"/>
      <w:numFmt w:val="bullet"/>
      <w:lvlText w:val="•"/>
      <w:lvlJc w:val="left"/>
      <w:pPr>
        <w:ind w:left="2808" w:hanging="5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96" w:hanging="5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84" w:hanging="5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72" w:hanging="5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0" w:hanging="5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48" w:hanging="5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6" w:hanging="5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24" w:hanging="567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</w:rPr>
  </w:style>
  <w:style w:styleId="Heading1" w:type="paragraph">
    <w:name w:val="Heading 1"/>
    <w:basedOn w:val="Normal"/>
    <w:uiPriority w:val="1"/>
    <w:qFormat/>
    <w:pPr>
      <w:ind w:left="2674" w:right="2153"/>
      <w:jc w:val="center"/>
      <w:outlineLvl w:val="1"/>
    </w:pPr>
    <w:rPr>
      <w:rFonts w:ascii="Cambria" w:hAnsi="Cambria" w:eastAsia="Cambria" w:cs="Cambria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ind w:left="855"/>
      <w:outlineLvl w:val="2"/>
    </w:pPr>
    <w:rPr>
      <w:rFonts w:ascii="Arial" w:hAnsi="Arial" w:eastAsia="Arial" w:cs="Arial"/>
      <w:b/>
      <w:bCs/>
      <w:i/>
      <w:sz w:val="32"/>
      <w:szCs w:val="32"/>
      <w:u w:val="single" w:color="000000"/>
    </w:rPr>
  </w:style>
  <w:style w:styleId="Heading3" w:type="paragraph">
    <w:name w:val="Heading 3"/>
    <w:basedOn w:val="Normal"/>
    <w:uiPriority w:val="1"/>
    <w:qFormat/>
    <w:pPr>
      <w:ind w:left="440"/>
      <w:outlineLvl w:val="3"/>
    </w:pPr>
    <w:rPr>
      <w:rFonts w:ascii="Arial" w:hAnsi="Arial" w:eastAsia="Arial" w:cs="Arial"/>
      <w:b/>
      <w:bCs/>
      <w:sz w:val="28"/>
      <w:szCs w:val="28"/>
      <w:u w:val="single" w:color="000000"/>
    </w:rPr>
  </w:style>
  <w:style w:styleId="ListParagraph" w:type="paragraph">
    <w:name w:val="List Paragraph"/>
    <w:basedOn w:val="Normal"/>
    <w:uiPriority w:val="1"/>
    <w:qFormat/>
    <w:pPr>
      <w:ind w:left="947" w:hanging="319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2021-12-07T19:47:58Z</dcterms:created>
  <dcterms:modified xsi:type="dcterms:W3CDTF">2021-12-07T19:47:58Z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Creator">
    <vt:lpwstr>Google</vt:lpwstr>
  </property>
  <property fmtid="{D5CDD505-2E9C-101B-9397-08002B2CF9AE}" pid="4" name="LastSaved">
    <vt:filetime>2021-12-07T00:00:00Z</vt:filetime>
  </property>
</Properties>
</file>