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2B3ED25E"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64201343" w:rsidR="00815957" w:rsidRPr="00362151" w:rsidRDefault="00006B7B" w:rsidP="0062139F">
            <w:pPr>
              <w:spacing w:after="60"/>
              <w:jc w:val="center"/>
              <w:rPr>
                <w:b/>
                <w:bCs/>
                <w:sz w:val="24"/>
                <w:szCs w:val="24"/>
              </w:rPr>
            </w:pPr>
            <w:r>
              <w:rPr>
                <w:b/>
                <w:bCs/>
                <w:sz w:val="24"/>
                <w:szCs w:val="24"/>
              </w:rPr>
              <w:t xml:space="preserve">January 16, 2026 </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72362FAC" w:rsidR="00FD4CC2" w:rsidRPr="0062139F" w:rsidRDefault="00F81D7C" w:rsidP="0062139F">
            <w:pPr>
              <w:jc w:val="center"/>
              <w:rPr>
                <w:b/>
                <w:sz w:val="24"/>
                <w:szCs w:val="24"/>
              </w:rPr>
            </w:pPr>
            <w:r>
              <w:rPr>
                <w:b/>
                <w:sz w:val="24"/>
                <w:szCs w:val="24"/>
              </w:rPr>
              <w:t>JOB #</w:t>
            </w:r>
            <w:r w:rsidR="00006B7B">
              <w:rPr>
                <w:b/>
                <w:sz w:val="24"/>
                <w:szCs w:val="24"/>
              </w:rPr>
              <w:t>26-02</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0F6D0474" w14:textId="0F65FB35" w:rsidR="00500411" w:rsidRDefault="00006B7B" w:rsidP="00500411">
            <w:pPr>
              <w:rPr>
                <w:b/>
                <w:sz w:val="24"/>
                <w:szCs w:val="24"/>
              </w:rPr>
            </w:pPr>
            <w:r>
              <w:rPr>
                <w:b/>
                <w:sz w:val="24"/>
                <w:szCs w:val="24"/>
              </w:rPr>
              <w:t>20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49F9E146" w:rsidR="00500411" w:rsidRDefault="007008C1" w:rsidP="00500411">
            <w:pPr>
              <w:rPr>
                <w:b/>
                <w:sz w:val="24"/>
                <w:szCs w:val="24"/>
              </w:rPr>
            </w:pPr>
            <w:r>
              <w:rPr>
                <w:b/>
                <w:sz w:val="24"/>
                <w:szCs w:val="24"/>
              </w:rPr>
              <w:t>$18.29 - $</w:t>
            </w:r>
            <w:r w:rsidR="00006B7B">
              <w:rPr>
                <w:b/>
                <w:sz w:val="24"/>
                <w:szCs w:val="24"/>
              </w:rPr>
              <w:t>25.06</w:t>
            </w:r>
            <w:r w:rsidR="00500411">
              <w:rPr>
                <w:b/>
                <w:sz w:val="24"/>
                <w:szCs w:val="24"/>
              </w:rPr>
              <w:t>/</w:t>
            </w:r>
            <w:proofErr w:type="spellStart"/>
            <w:r w:rsidR="00500411">
              <w:rPr>
                <w:b/>
                <w:sz w:val="24"/>
                <w:szCs w:val="24"/>
              </w:rPr>
              <w:t>hr</w:t>
            </w:r>
            <w:proofErr w:type="spellEnd"/>
          </w:p>
          <w:p w14:paraId="5ED3C45C" w14:textId="019B12B2" w:rsidR="00267D6B" w:rsidRPr="0062139F" w:rsidRDefault="00006B7B" w:rsidP="00500411">
            <w:pPr>
              <w:rPr>
                <w:b/>
                <w:sz w:val="24"/>
                <w:szCs w:val="24"/>
              </w:rPr>
            </w:pPr>
            <w:r>
              <w:rPr>
                <w:b/>
                <w:sz w:val="24"/>
                <w:szCs w:val="24"/>
              </w:rPr>
              <w:t xml:space="preserve">Ponderosa High </w:t>
            </w:r>
            <w:r w:rsidR="00082BDF">
              <w:rPr>
                <w:b/>
                <w:sz w:val="24"/>
                <w:szCs w:val="24"/>
              </w:rPr>
              <w:t>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006B7B"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6B7B"/>
    <w:rsid w:val="0000724F"/>
    <w:rsid w:val="00007934"/>
    <w:rsid w:val="00013660"/>
    <w:rsid w:val="00050742"/>
    <w:rsid w:val="000612AE"/>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D1905"/>
    <w:rsid w:val="00EF4292"/>
    <w:rsid w:val="00EF5007"/>
    <w:rsid w:val="00F170EE"/>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2991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3450</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2025-09-17T20:33:00Z</cp:lastPrinted>
  <dcterms:created xsi:type="dcterms:W3CDTF">2026-01-07T21:27:00Z</dcterms:created>
  <dcterms:modified xsi:type="dcterms:W3CDTF">2026-01-07T21:27:00Z</dcterms:modified>
</cp:coreProperties>
</file>