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521862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 October 29</w:t>
      </w:r>
      <w:r w:rsidR="00DD1E7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4E1559" w:rsidRDefault="004E1559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Philly Cheese Steak</w:t>
      </w:r>
    </w:p>
    <w:p w:rsidR="004E1559" w:rsidRDefault="004E1559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AC5795" w:rsidRPr="00AC5795" w:rsidRDefault="00AC5795" w:rsidP="008B1184">
      <w:pPr>
        <w:ind w:firstLine="360"/>
        <w:rPr>
          <w:sz w:val="24"/>
          <w:szCs w:val="28"/>
        </w:rPr>
      </w:pPr>
      <w:r w:rsidRPr="00AC5795">
        <w:rPr>
          <w:sz w:val="24"/>
          <w:szCs w:val="28"/>
        </w:rPr>
        <w:t>Trenton</w:t>
      </w:r>
    </w:p>
    <w:p w:rsidR="00AC5795" w:rsidRPr="00AC5795" w:rsidRDefault="00AC5795" w:rsidP="008B1184">
      <w:pPr>
        <w:ind w:firstLine="360"/>
        <w:rPr>
          <w:sz w:val="24"/>
          <w:szCs w:val="28"/>
        </w:rPr>
      </w:pPr>
      <w:r w:rsidRPr="00AC5795">
        <w:rPr>
          <w:sz w:val="24"/>
          <w:szCs w:val="28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6F1892" w:rsidRDefault="00521862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Tomorrow</w:t>
      </w:r>
      <w:r w:rsidR="00AC5795">
        <w:rPr>
          <w:rFonts w:eastAsia="Times New Roman" w:cstheme="minorHAnsi"/>
          <w:color w:val="222222"/>
          <w:sz w:val="24"/>
          <w:szCs w:val="24"/>
        </w:rPr>
        <w:t>, we will have our annual ASB Halloween carnival in the gym for the elementary school from 9-10 am.</w:t>
      </w:r>
    </w:p>
    <w:p w:rsidR="00AC5795" w:rsidRDefault="00521862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Tomorrow</w:t>
      </w:r>
      <w:r w:rsidR="00AC5795">
        <w:rPr>
          <w:rFonts w:eastAsia="Times New Roman" w:cstheme="minorHAnsi"/>
          <w:color w:val="222222"/>
          <w:sz w:val="24"/>
          <w:szCs w:val="24"/>
        </w:rPr>
        <w:t>, we will have our Halloween pep rally. Come dressed up for our costume contest. The winner will receive a gift card!</w:t>
      </w:r>
    </w:p>
    <w:p w:rsidR="00AC5795" w:rsidRDefault="00AC5795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Halloween doors need </w:t>
      </w:r>
      <w:r w:rsidR="004E1559">
        <w:rPr>
          <w:rFonts w:eastAsia="Times New Roman" w:cstheme="minorHAnsi"/>
          <w:color w:val="222222"/>
          <w:sz w:val="24"/>
          <w:szCs w:val="24"/>
        </w:rPr>
        <w:t>to be completed today. The winner will be announced at the pep rally.</w:t>
      </w:r>
    </w:p>
    <w:p w:rsidR="00AC5795" w:rsidRDefault="006D3590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p</w:t>
      </w:r>
      <w:r w:rsidR="00AC5795">
        <w:rPr>
          <w:rFonts w:eastAsia="Times New Roman" w:cstheme="minorHAnsi"/>
          <w:color w:val="222222"/>
          <w:sz w:val="24"/>
          <w:szCs w:val="24"/>
        </w:rPr>
        <w:t xml:space="preserve">umpkin carving </w:t>
      </w:r>
      <w:r>
        <w:rPr>
          <w:rFonts w:eastAsia="Times New Roman" w:cstheme="minorHAnsi"/>
          <w:color w:val="222222"/>
          <w:sz w:val="24"/>
          <w:szCs w:val="24"/>
        </w:rPr>
        <w:t>contest has begun</w:t>
      </w:r>
      <w:r w:rsidR="00AC5795">
        <w:rPr>
          <w:rFonts w:eastAsia="Times New Roman" w:cstheme="minorHAnsi"/>
          <w:color w:val="222222"/>
          <w:sz w:val="24"/>
          <w:szCs w:val="24"/>
        </w:rPr>
        <w:t>. The pumpkins will be in the art room. Each class needs to carve their own pumpkin and clean up their own mess.</w:t>
      </w:r>
      <w:r w:rsidR="004E1559">
        <w:rPr>
          <w:rFonts w:eastAsia="Times New Roman" w:cstheme="minorHAnsi"/>
          <w:color w:val="222222"/>
          <w:sz w:val="24"/>
          <w:szCs w:val="24"/>
        </w:rPr>
        <w:t xml:space="preserve"> Pumpkins need to be done by tomorrow. They will be judged at the pep rally.</w:t>
      </w:r>
    </w:p>
    <w:p w:rsidR="00AC5795" w:rsidRPr="00AC5795" w:rsidRDefault="00AC5795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is no school on Friday.</w:t>
      </w: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AC5795" w:rsidRPr="00AC5795" w:rsidRDefault="00AC5795" w:rsidP="00AC5795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cstheme="minorHAnsi"/>
          <w:color w:val="222222"/>
        </w:rPr>
        <w:t>On Friday, the Cross Country Team will travel to Fall River for a meet.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51083A" w:rsidRPr="00301CB7" w:rsidRDefault="00521862" w:rsidP="006D3590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Chess club will be in Mrs. Howard’s room today.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A28A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8134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2025-10-28T15:07:00Z</cp:lastPrinted>
  <dcterms:created xsi:type="dcterms:W3CDTF">2025-10-28T16:13:00Z</dcterms:created>
  <dcterms:modified xsi:type="dcterms:W3CDTF">2025-10-29T15:02:00Z</dcterms:modified>
</cp:coreProperties>
</file>