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2"/>
        <w:gridCol w:w="1453"/>
        <w:gridCol w:w="1875"/>
        <w:gridCol w:w="1049"/>
        <w:gridCol w:w="1392"/>
        <w:gridCol w:w="1509"/>
      </w:tblGrid>
      <w:tr w:rsidR="00835281" w14:paraId="6D8556D4" w14:textId="77777777" w:rsidTr="0054378D">
        <w:trPr>
          <w:jc w:val="center"/>
        </w:trPr>
        <w:tc>
          <w:tcPr>
            <w:tcW w:w="1442" w:type="dxa"/>
          </w:tcPr>
          <w:p w14:paraId="0073BA4A" w14:textId="77777777" w:rsidR="00835281" w:rsidRPr="00835281" w:rsidRDefault="00835281">
            <w:pPr>
              <w:rPr>
                <w:b/>
              </w:rPr>
            </w:pPr>
            <w:r w:rsidRPr="00835281">
              <w:rPr>
                <w:b/>
              </w:rPr>
              <w:t>Competition and Leadership Event</w:t>
            </w:r>
          </w:p>
          <w:p w14:paraId="72BE4E58" w14:textId="77777777" w:rsidR="00835281" w:rsidRDefault="00835281"/>
        </w:tc>
        <w:tc>
          <w:tcPr>
            <w:tcW w:w="1453" w:type="dxa"/>
          </w:tcPr>
          <w:p w14:paraId="09D07F48" w14:textId="58F243D1" w:rsidR="00835281" w:rsidRPr="00CC599E" w:rsidRDefault="00835281" w:rsidP="00CC599E">
            <w:pPr>
              <w:jc w:val="center"/>
              <w:rPr>
                <w:b/>
              </w:rPr>
            </w:pPr>
            <w:r w:rsidRPr="00CC599E">
              <w:rPr>
                <w:b/>
              </w:rPr>
              <w:t xml:space="preserve">Reimburse Allowable </w:t>
            </w:r>
            <w:r w:rsidRPr="00EE222C">
              <w:rPr>
                <w:b/>
                <w:u w:val="single"/>
              </w:rPr>
              <w:t xml:space="preserve">Teacher </w:t>
            </w:r>
            <w:r w:rsidRPr="00CC599E">
              <w:rPr>
                <w:b/>
              </w:rPr>
              <w:t>Travel</w:t>
            </w:r>
            <w:r w:rsidR="00A05CD9">
              <w:rPr>
                <w:b/>
              </w:rPr>
              <w:t>, Substitutes,</w:t>
            </w:r>
            <w:r w:rsidRPr="00CC599E">
              <w:rPr>
                <w:b/>
              </w:rPr>
              <w:t xml:space="preserve"> </w:t>
            </w:r>
            <w:r>
              <w:rPr>
                <w:b/>
              </w:rPr>
              <w:t xml:space="preserve">and Registration </w:t>
            </w:r>
            <w:r w:rsidRPr="00CC599E">
              <w:rPr>
                <w:b/>
              </w:rPr>
              <w:t>Expenses</w:t>
            </w:r>
          </w:p>
        </w:tc>
        <w:tc>
          <w:tcPr>
            <w:tcW w:w="1875" w:type="dxa"/>
          </w:tcPr>
          <w:p w14:paraId="1EAFAF2C" w14:textId="77777777" w:rsidR="00835281" w:rsidRDefault="00835281" w:rsidP="00CC599E">
            <w:pPr>
              <w:jc w:val="center"/>
              <w:rPr>
                <w:b/>
              </w:rPr>
            </w:pPr>
            <w:r w:rsidRPr="001B403A">
              <w:rPr>
                <w:b/>
                <w:u w:val="single"/>
              </w:rPr>
              <w:t>Transportation</w:t>
            </w:r>
            <w:r w:rsidRPr="00CC599E">
              <w:rPr>
                <w:b/>
              </w:rPr>
              <w:t xml:space="preserve"> of Students</w:t>
            </w:r>
          </w:p>
          <w:p w14:paraId="54DFDF6F" w14:textId="77777777" w:rsidR="00835281" w:rsidRPr="00CC599E" w:rsidRDefault="00835281" w:rsidP="00CC599E">
            <w:pPr>
              <w:jc w:val="center"/>
              <w:rPr>
                <w:b/>
              </w:rPr>
            </w:pPr>
            <w:r>
              <w:rPr>
                <w:b/>
              </w:rPr>
              <w:t>Prequalify or Places 1</w:t>
            </w:r>
            <w:r w:rsidRPr="00CC599E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through 5</w:t>
            </w:r>
            <w:r w:rsidRPr="00CC599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  <w:tc>
          <w:tcPr>
            <w:tcW w:w="1049" w:type="dxa"/>
          </w:tcPr>
          <w:p w14:paraId="2B8B84DC" w14:textId="77777777" w:rsidR="00835281" w:rsidRPr="00CC599E" w:rsidRDefault="00835281" w:rsidP="00CC599E">
            <w:pPr>
              <w:jc w:val="center"/>
              <w:rPr>
                <w:b/>
              </w:rPr>
            </w:pPr>
            <w:r>
              <w:rPr>
                <w:b/>
              </w:rPr>
              <w:t>Student Meals and Hotel</w:t>
            </w:r>
          </w:p>
        </w:tc>
        <w:tc>
          <w:tcPr>
            <w:tcW w:w="1392" w:type="dxa"/>
          </w:tcPr>
          <w:p w14:paraId="2274B61A" w14:textId="77777777" w:rsidR="00835281" w:rsidRPr="00CC599E" w:rsidRDefault="00835281" w:rsidP="00835281">
            <w:pPr>
              <w:jc w:val="center"/>
              <w:rPr>
                <w:b/>
              </w:rPr>
            </w:pPr>
            <w:r>
              <w:rPr>
                <w:b/>
              </w:rPr>
              <w:t>Competition and other related fees</w:t>
            </w:r>
          </w:p>
        </w:tc>
        <w:tc>
          <w:tcPr>
            <w:tcW w:w="1509" w:type="dxa"/>
          </w:tcPr>
          <w:p w14:paraId="727AD68A" w14:textId="77777777" w:rsidR="00835281" w:rsidRDefault="00835281" w:rsidP="00835281">
            <w:pPr>
              <w:jc w:val="center"/>
              <w:rPr>
                <w:b/>
              </w:rPr>
            </w:pPr>
            <w:r>
              <w:rPr>
                <w:b/>
              </w:rPr>
              <w:t>Campus Administrator  related Costs</w:t>
            </w:r>
          </w:p>
        </w:tc>
      </w:tr>
      <w:tr w:rsidR="00B431C5" w14:paraId="56C27EF5" w14:textId="77777777" w:rsidTr="00283544">
        <w:trPr>
          <w:jc w:val="center"/>
        </w:trPr>
        <w:tc>
          <w:tcPr>
            <w:tcW w:w="1442" w:type="dxa"/>
            <w:vAlign w:val="center"/>
          </w:tcPr>
          <w:p w14:paraId="2F60F608" w14:textId="77777777" w:rsidR="00B431C5" w:rsidRPr="00CC599E" w:rsidRDefault="00B431C5" w:rsidP="00B431C5">
            <w:pPr>
              <w:rPr>
                <w:b/>
              </w:rPr>
            </w:pPr>
            <w:r>
              <w:rPr>
                <w:b/>
              </w:rPr>
              <w:t>Practice</w:t>
            </w:r>
          </w:p>
        </w:tc>
        <w:tc>
          <w:tcPr>
            <w:tcW w:w="7278" w:type="dxa"/>
            <w:gridSpan w:val="5"/>
            <w:vAlign w:val="center"/>
          </w:tcPr>
          <w:p w14:paraId="35CB63DA" w14:textId="77777777" w:rsidR="00B431C5" w:rsidRDefault="00B431C5" w:rsidP="00B431C5">
            <w:pPr>
              <w:jc w:val="center"/>
            </w:pPr>
            <w:r>
              <w:t xml:space="preserve">Campus or the Campus CTSO Budget </w:t>
            </w:r>
          </w:p>
        </w:tc>
      </w:tr>
      <w:tr w:rsidR="00B431C5" w14:paraId="766FE9EC" w14:textId="77777777" w:rsidTr="00A05CD9">
        <w:trPr>
          <w:jc w:val="center"/>
        </w:trPr>
        <w:tc>
          <w:tcPr>
            <w:tcW w:w="1442" w:type="dxa"/>
            <w:vAlign w:val="center"/>
          </w:tcPr>
          <w:p w14:paraId="7E8D51E5" w14:textId="77777777" w:rsidR="00B431C5" w:rsidRPr="00CC599E" w:rsidRDefault="00B431C5" w:rsidP="00B431C5">
            <w:pPr>
              <w:rPr>
                <w:b/>
              </w:rPr>
            </w:pPr>
            <w:r w:rsidRPr="00CC599E">
              <w:rPr>
                <w:b/>
              </w:rPr>
              <w:t>Local</w:t>
            </w:r>
          </w:p>
        </w:tc>
        <w:tc>
          <w:tcPr>
            <w:tcW w:w="1453" w:type="dxa"/>
            <w:vMerge w:val="restart"/>
            <w:vAlign w:val="center"/>
          </w:tcPr>
          <w:p w14:paraId="0E8BB6AE" w14:textId="77777777" w:rsidR="00B431C5" w:rsidRDefault="00B431C5" w:rsidP="00B431C5">
            <w:pPr>
              <w:jc w:val="center"/>
            </w:pPr>
            <w:r>
              <w:t xml:space="preserve">Covered by CTE budget at </w:t>
            </w:r>
            <w:r w:rsidRPr="007E0A2F">
              <w:t>100% if Preapproved</w:t>
            </w:r>
          </w:p>
          <w:p w14:paraId="20EBE7B0" w14:textId="77777777" w:rsidR="00B431C5" w:rsidRDefault="00B431C5" w:rsidP="00B431C5">
            <w:pPr>
              <w:jc w:val="center"/>
            </w:pPr>
          </w:p>
        </w:tc>
        <w:tc>
          <w:tcPr>
            <w:tcW w:w="1875" w:type="dxa"/>
          </w:tcPr>
          <w:p w14:paraId="15240070" w14:textId="77777777" w:rsidR="00B431C5" w:rsidRDefault="00B431C5" w:rsidP="00B431C5">
            <w:r>
              <w:t>Campus CTSO budget</w:t>
            </w:r>
          </w:p>
          <w:p w14:paraId="213196B1" w14:textId="77777777" w:rsidR="00B431C5" w:rsidRDefault="00B431C5" w:rsidP="00B431C5"/>
        </w:tc>
        <w:tc>
          <w:tcPr>
            <w:tcW w:w="1049" w:type="dxa"/>
            <w:vMerge w:val="restart"/>
            <w:vAlign w:val="center"/>
          </w:tcPr>
          <w:p w14:paraId="066EBB27" w14:textId="77777777" w:rsidR="00B431C5" w:rsidRDefault="00B431C5" w:rsidP="00B431C5">
            <w:pPr>
              <w:jc w:val="center"/>
            </w:pPr>
            <w:r w:rsidRPr="00DE468A">
              <w:t>Campus CTSO budget</w:t>
            </w:r>
          </w:p>
          <w:p w14:paraId="610E7925" w14:textId="77777777" w:rsidR="00B431C5" w:rsidRDefault="00B431C5" w:rsidP="00B431C5">
            <w:pPr>
              <w:jc w:val="center"/>
            </w:pPr>
          </w:p>
        </w:tc>
        <w:tc>
          <w:tcPr>
            <w:tcW w:w="1392" w:type="dxa"/>
            <w:vMerge w:val="restart"/>
            <w:vAlign w:val="center"/>
          </w:tcPr>
          <w:p w14:paraId="034A6034" w14:textId="77777777" w:rsidR="00B431C5" w:rsidRDefault="00B431C5" w:rsidP="00B431C5">
            <w:pPr>
              <w:jc w:val="center"/>
            </w:pPr>
            <w:r w:rsidRPr="00DE468A">
              <w:t>Campus CTSO budget</w:t>
            </w:r>
          </w:p>
          <w:p w14:paraId="5759639C" w14:textId="77777777" w:rsidR="00B431C5" w:rsidRDefault="00B431C5" w:rsidP="00B431C5">
            <w:pPr>
              <w:jc w:val="center"/>
            </w:pPr>
          </w:p>
        </w:tc>
        <w:tc>
          <w:tcPr>
            <w:tcW w:w="1509" w:type="dxa"/>
            <w:vMerge w:val="restart"/>
            <w:vAlign w:val="center"/>
          </w:tcPr>
          <w:p w14:paraId="1B4F44C6" w14:textId="77777777" w:rsidR="00B431C5" w:rsidRPr="00DE468A" w:rsidRDefault="00B431C5" w:rsidP="00B431C5">
            <w:pPr>
              <w:jc w:val="center"/>
            </w:pPr>
            <w:r>
              <w:t>Campus or the Campus CTSO budget</w:t>
            </w:r>
          </w:p>
          <w:p w14:paraId="4B0E1607" w14:textId="77777777" w:rsidR="00B431C5" w:rsidRPr="00DE468A" w:rsidRDefault="00B431C5" w:rsidP="00B431C5">
            <w:pPr>
              <w:jc w:val="center"/>
            </w:pPr>
          </w:p>
        </w:tc>
      </w:tr>
      <w:tr w:rsidR="00B431C5" w14:paraId="22088340" w14:textId="77777777" w:rsidTr="00A05CD9">
        <w:trPr>
          <w:jc w:val="center"/>
        </w:trPr>
        <w:tc>
          <w:tcPr>
            <w:tcW w:w="1442" w:type="dxa"/>
            <w:vAlign w:val="center"/>
          </w:tcPr>
          <w:p w14:paraId="3E6E0BB4" w14:textId="77777777" w:rsidR="00B431C5" w:rsidRPr="00CC599E" w:rsidRDefault="00B431C5" w:rsidP="00B431C5">
            <w:pPr>
              <w:rPr>
                <w:b/>
              </w:rPr>
            </w:pPr>
            <w:r w:rsidRPr="00CC599E">
              <w:rPr>
                <w:b/>
              </w:rPr>
              <w:t>Regional</w:t>
            </w:r>
          </w:p>
        </w:tc>
        <w:tc>
          <w:tcPr>
            <w:tcW w:w="1453" w:type="dxa"/>
            <w:vMerge/>
          </w:tcPr>
          <w:p w14:paraId="1EC3D3BB" w14:textId="77777777" w:rsidR="00B431C5" w:rsidRDefault="00B431C5" w:rsidP="00B431C5"/>
        </w:tc>
        <w:tc>
          <w:tcPr>
            <w:tcW w:w="1875" w:type="dxa"/>
            <w:vMerge w:val="restart"/>
          </w:tcPr>
          <w:p w14:paraId="599E7085" w14:textId="77777777" w:rsidR="00B431C5" w:rsidRDefault="00B431C5" w:rsidP="00B431C5">
            <w:r>
              <w:t>CTE Budget - 100% at lowest cost; preapproved; and processed through CTE office</w:t>
            </w:r>
          </w:p>
          <w:p w14:paraId="2E4F7203" w14:textId="77777777" w:rsidR="00B431C5" w:rsidRDefault="00B431C5" w:rsidP="00B431C5"/>
        </w:tc>
        <w:tc>
          <w:tcPr>
            <w:tcW w:w="1049" w:type="dxa"/>
            <w:vMerge/>
          </w:tcPr>
          <w:p w14:paraId="38D5B2CF" w14:textId="77777777" w:rsidR="00B431C5" w:rsidRDefault="00B431C5" w:rsidP="00B431C5"/>
        </w:tc>
        <w:tc>
          <w:tcPr>
            <w:tcW w:w="1392" w:type="dxa"/>
            <w:vMerge/>
          </w:tcPr>
          <w:p w14:paraId="7939813E" w14:textId="77777777" w:rsidR="00B431C5" w:rsidRDefault="00B431C5" w:rsidP="00B431C5"/>
        </w:tc>
        <w:tc>
          <w:tcPr>
            <w:tcW w:w="1509" w:type="dxa"/>
            <w:vMerge/>
          </w:tcPr>
          <w:p w14:paraId="2E2023C2" w14:textId="77777777" w:rsidR="00B431C5" w:rsidRPr="00DE468A" w:rsidRDefault="00B431C5" w:rsidP="00B431C5"/>
        </w:tc>
      </w:tr>
      <w:tr w:rsidR="00B431C5" w14:paraId="725C36B3" w14:textId="77777777" w:rsidTr="00A05CD9">
        <w:trPr>
          <w:jc w:val="center"/>
        </w:trPr>
        <w:tc>
          <w:tcPr>
            <w:tcW w:w="1442" w:type="dxa"/>
            <w:vAlign w:val="center"/>
          </w:tcPr>
          <w:p w14:paraId="3B9FE373" w14:textId="77777777" w:rsidR="00B431C5" w:rsidRPr="00CC599E" w:rsidRDefault="00B431C5" w:rsidP="00B431C5">
            <w:pPr>
              <w:rPr>
                <w:b/>
              </w:rPr>
            </w:pPr>
            <w:r w:rsidRPr="00CC599E">
              <w:rPr>
                <w:b/>
              </w:rPr>
              <w:t>State</w:t>
            </w:r>
          </w:p>
        </w:tc>
        <w:tc>
          <w:tcPr>
            <w:tcW w:w="1453" w:type="dxa"/>
            <w:vMerge/>
          </w:tcPr>
          <w:p w14:paraId="7FE58B44" w14:textId="77777777" w:rsidR="00B431C5" w:rsidRDefault="00B431C5" w:rsidP="00B431C5"/>
        </w:tc>
        <w:tc>
          <w:tcPr>
            <w:tcW w:w="1875" w:type="dxa"/>
            <w:vMerge/>
          </w:tcPr>
          <w:p w14:paraId="241C9D66" w14:textId="77777777" w:rsidR="00B431C5" w:rsidRDefault="00B431C5" w:rsidP="00B431C5"/>
        </w:tc>
        <w:tc>
          <w:tcPr>
            <w:tcW w:w="1049" w:type="dxa"/>
            <w:vMerge/>
          </w:tcPr>
          <w:p w14:paraId="78CF28E5" w14:textId="77777777" w:rsidR="00B431C5" w:rsidRDefault="00B431C5" w:rsidP="00B431C5"/>
        </w:tc>
        <w:tc>
          <w:tcPr>
            <w:tcW w:w="1392" w:type="dxa"/>
            <w:vMerge/>
          </w:tcPr>
          <w:p w14:paraId="3E60C709" w14:textId="77777777" w:rsidR="00B431C5" w:rsidRDefault="00B431C5" w:rsidP="00B431C5"/>
        </w:tc>
        <w:tc>
          <w:tcPr>
            <w:tcW w:w="1509" w:type="dxa"/>
            <w:vMerge/>
          </w:tcPr>
          <w:p w14:paraId="21C08933" w14:textId="77777777" w:rsidR="00B431C5" w:rsidRPr="00DE468A" w:rsidRDefault="00B431C5" w:rsidP="00B431C5"/>
        </w:tc>
      </w:tr>
      <w:tr w:rsidR="00B431C5" w14:paraId="2C58D105" w14:textId="77777777" w:rsidTr="00A05CD9">
        <w:trPr>
          <w:trHeight w:val="1187"/>
          <w:jc w:val="center"/>
        </w:trPr>
        <w:tc>
          <w:tcPr>
            <w:tcW w:w="1442" w:type="dxa"/>
            <w:vAlign w:val="center"/>
          </w:tcPr>
          <w:p w14:paraId="56AB74AD" w14:textId="77777777" w:rsidR="00B431C5" w:rsidRPr="00CC599E" w:rsidRDefault="00B431C5" w:rsidP="00B431C5">
            <w:pPr>
              <w:rPr>
                <w:b/>
              </w:rPr>
            </w:pPr>
            <w:r w:rsidRPr="00CC599E">
              <w:rPr>
                <w:b/>
              </w:rPr>
              <w:t>Nationals</w:t>
            </w:r>
          </w:p>
        </w:tc>
        <w:tc>
          <w:tcPr>
            <w:tcW w:w="1453" w:type="dxa"/>
            <w:vMerge/>
          </w:tcPr>
          <w:p w14:paraId="0AA7F03C" w14:textId="77777777" w:rsidR="00B431C5" w:rsidRDefault="00B431C5" w:rsidP="00B431C5"/>
        </w:tc>
        <w:tc>
          <w:tcPr>
            <w:tcW w:w="1875" w:type="dxa"/>
            <w:vMerge/>
          </w:tcPr>
          <w:p w14:paraId="67B7EA0A" w14:textId="77777777" w:rsidR="00B431C5" w:rsidRDefault="00B431C5" w:rsidP="00B431C5"/>
        </w:tc>
        <w:tc>
          <w:tcPr>
            <w:tcW w:w="1049" w:type="dxa"/>
            <w:vMerge/>
          </w:tcPr>
          <w:p w14:paraId="159A5CF9" w14:textId="77777777" w:rsidR="00B431C5" w:rsidRDefault="00B431C5" w:rsidP="00B431C5"/>
        </w:tc>
        <w:tc>
          <w:tcPr>
            <w:tcW w:w="1392" w:type="dxa"/>
            <w:vMerge/>
          </w:tcPr>
          <w:p w14:paraId="5DED800A" w14:textId="77777777" w:rsidR="00B431C5" w:rsidRDefault="00B431C5" w:rsidP="00B431C5"/>
        </w:tc>
        <w:tc>
          <w:tcPr>
            <w:tcW w:w="1509" w:type="dxa"/>
            <w:vMerge/>
          </w:tcPr>
          <w:p w14:paraId="7B55F9B0" w14:textId="77777777" w:rsidR="00B431C5" w:rsidRPr="00DE468A" w:rsidRDefault="00B431C5" w:rsidP="00B431C5"/>
        </w:tc>
      </w:tr>
    </w:tbl>
    <w:p w14:paraId="66577EDC" w14:textId="77777777" w:rsidR="00CC599E" w:rsidRDefault="00CC599E"/>
    <w:p w14:paraId="45AABA27" w14:textId="77777777" w:rsidR="00835281" w:rsidRPr="00A30972" w:rsidRDefault="00835281" w:rsidP="00A30972">
      <w:pPr>
        <w:pStyle w:val="ListParagraph"/>
        <w:numPr>
          <w:ilvl w:val="0"/>
          <w:numId w:val="2"/>
        </w:numPr>
        <w:tabs>
          <w:tab w:val="left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30972">
        <w:rPr>
          <w:rFonts w:ascii="Times New Roman" w:hAnsi="Times New Roman" w:cs="Times New Roman"/>
          <w:sz w:val="24"/>
          <w:szCs w:val="24"/>
        </w:rPr>
        <w:t>Approved TEA CTSO are</w:t>
      </w:r>
      <w:r w:rsidR="00A30972" w:rsidRPr="00A3097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ooltip="Business Professionals of America (BPA) - Texas" w:history="1">
        <w:r w:rsidR="00A30972" w:rsidRPr="00A30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Business Professionals of America (BPA) - Texas</w:t>
        </w:r>
      </w:hyperlink>
      <w:r w:rsidR="00A30972" w:rsidRPr="00A3097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hyperlink r:id="rId9" w:tooltip="DECA, Texas Association" w:history="1">
        <w:r w:rsidR="00A30972" w:rsidRPr="00A30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DECA, Texas Association</w:t>
        </w:r>
      </w:hyperlink>
      <w:r w:rsidR="00A30972" w:rsidRPr="00A3097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hyperlink r:id="rId10" w:tooltip="Future Business Leaders of America (FBLA)" w:history="1">
        <w:r w:rsidR="00A30972" w:rsidRPr="00A30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Future Business Leaders of America (FBLA)</w:t>
        </w:r>
      </w:hyperlink>
      <w:r w:rsidR="00A3097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hyperlink r:id="rId11" w:tooltip="Family, Career and Community Leaders of America (FCCLA) " w:history="1">
        <w:r w:rsidR="00A30972" w:rsidRPr="00A30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Family, Career and Community Leaders of America (FCCLA) </w:t>
        </w:r>
      </w:hyperlink>
      <w:r w:rsidR="00A3097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hyperlink r:id="rId12" w:tooltip="Health Occupations Students of America (HOSA)" w:history="1">
        <w:r w:rsidR="00A30972" w:rsidRPr="00A30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Health Occupations Students of America (HOSA)</w:t>
        </w:r>
      </w:hyperlink>
      <w:r w:rsidR="00A3097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hyperlink r:id="rId13" w:tooltip="SkillsUSA Texas" w:history="1">
        <w:r w:rsidR="00A30972" w:rsidRPr="00A30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SkillsUSA Texas</w:t>
        </w:r>
      </w:hyperlink>
      <w:r w:rsidR="00A3097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hyperlink r:id="rId14" w:tooltip="Texas Association of Future Educators" w:history="1">
        <w:r w:rsidR="00A30972" w:rsidRPr="00A30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Texas Association of Future Educators</w:t>
        </w:r>
      </w:hyperlink>
      <w:r w:rsidR="00A3097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hyperlink r:id="rId15" w:tooltip="Texas FFA Association" w:history="1">
        <w:r w:rsidR="00A30972" w:rsidRPr="00A30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Texas FFA Association</w:t>
        </w:r>
      </w:hyperlink>
      <w:r w:rsidR="00A3097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hyperlink r:id="rId16" w:tooltip="Texas Technology Students Association (TSA)" w:history="1">
        <w:r w:rsidR="00A30972" w:rsidRPr="00A30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Texas Technology Students Association (TSA)</w:t>
        </w:r>
      </w:hyperlink>
      <w:r w:rsidR="00A30972" w:rsidRPr="00A30972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r w:rsidRPr="00A30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44A27" w14:textId="77777777" w:rsidR="00B34790" w:rsidRPr="00A30972" w:rsidRDefault="00B34790" w:rsidP="00A30972">
      <w:pPr>
        <w:pStyle w:val="ListParagraph"/>
        <w:numPr>
          <w:ilvl w:val="0"/>
          <w:numId w:val="2"/>
        </w:numPr>
        <w:tabs>
          <w:tab w:val="left" w:pos="360"/>
        </w:tabs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30972">
        <w:rPr>
          <w:rFonts w:ascii="Times New Roman" w:hAnsi="Times New Roman" w:cs="Times New Roman"/>
          <w:sz w:val="24"/>
          <w:szCs w:val="24"/>
        </w:rPr>
        <w:t xml:space="preserve">Rentals, charter buses, and air plane travel processed through our office. Quotes accepted, but CTE budget manager must submit PO requisition. </w:t>
      </w:r>
      <w:r w:rsidR="00DC1749" w:rsidRPr="00A30972">
        <w:rPr>
          <w:rFonts w:ascii="Times New Roman" w:hAnsi="Times New Roman" w:cs="Times New Roman"/>
          <w:sz w:val="24"/>
          <w:szCs w:val="24"/>
        </w:rPr>
        <w:t xml:space="preserve">Per district travel rules, the lowest cost mode of transportation must be utilized. </w:t>
      </w:r>
      <w:r w:rsidR="00206B35" w:rsidRPr="00A30972">
        <w:rPr>
          <w:rFonts w:ascii="Times New Roman" w:hAnsi="Times New Roman" w:cs="Times New Roman"/>
          <w:sz w:val="24"/>
          <w:szCs w:val="24"/>
        </w:rPr>
        <w:t xml:space="preserve">Teacher to student </w:t>
      </w:r>
      <w:r w:rsidR="00D24486" w:rsidRPr="00A30972">
        <w:rPr>
          <w:rFonts w:ascii="Times New Roman" w:hAnsi="Times New Roman" w:cs="Times New Roman"/>
          <w:sz w:val="24"/>
          <w:szCs w:val="24"/>
        </w:rPr>
        <w:t>ratios</w:t>
      </w:r>
      <w:r w:rsidR="00206B35" w:rsidRPr="00A30972">
        <w:rPr>
          <w:rFonts w:ascii="Times New Roman" w:hAnsi="Times New Roman" w:cs="Times New Roman"/>
          <w:sz w:val="24"/>
          <w:szCs w:val="24"/>
        </w:rPr>
        <w:t xml:space="preserve"> will be evaluated for each trip. </w:t>
      </w:r>
    </w:p>
    <w:p w14:paraId="3C8D87CB" w14:textId="77777777" w:rsidR="00835281" w:rsidRDefault="00835281" w:rsidP="0054378D">
      <w:pPr>
        <w:pStyle w:val="ListParagraph"/>
        <w:numPr>
          <w:ilvl w:val="0"/>
          <w:numId w:val="2"/>
        </w:numPr>
        <w:tabs>
          <w:tab w:val="left" w:pos="360"/>
        </w:tabs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30972">
        <w:rPr>
          <w:rFonts w:ascii="Times New Roman" w:hAnsi="Times New Roman" w:cs="Times New Roman"/>
          <w:sz w:val="24"/>
          <w:szCs w:val="24"/>
        </w:rPr>
        <w:t>State and National officer’s</w:t>
      </w:r>
      <w:r w:rsidR="0054378D">
        <w:rPr>
          <w:rFonts w:ascii="Times New Roman" w:hAnsi="Times New Roman" w:cs="Times New Roman"/>
          <w:sz w:val="24"/>
          <w:szCs w:val="24"/>
        </w:rPr>
        <w:t xml:space="preserve"> travel may</w:t>
      </w:r>
      <w:r w:rsidRPr="00A30972">
        <w:rPr>
          <w:rFonts w:ascii="Times New Roman" w:hAnsi="Times New Roman" w:cs="Times New Roman"/>
          <w:sz w:val="24"/>
          <w:szCs w:val="24"/>
        </w:rPr>
        <w:t xml:space="preserve"> be covered</w:t>
      </w:r>
      <w:r w:rsidR="0054378D">
        <w:rPr>
          <w:rFonts w:ascii="Times New Roman" w:hAnsi="Times New Roman" w:cs="Times New Roman"/>
          <w:sz w:val="24"/>
          <w:szCs w:val="24"/>
        </w:rPr>
        <w:t>,</w:t>
      </w:r>
      <w:r w:rsidRPr="00A30972">
        <w:rPr>
          <w:rFonts w:ascii="Times New Roman" w:hAnsi="Times New Roman" w:cs="Times New Roman"/>
          <w:sz w:val="24"/>
          <w:szCs w:val="24"/>
        </w:rPr>
        <w:t xml:space="preserve"> if the CTSO does not cover it.</w:t>
      </w:r>
      <w:r w:rsidRPr="005437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F577B" w14:textId="77777777" w:rsidR="00A05CD9" w:rsidRPr="0054378D" w:rsidRDefault="00A05CD9" w:rsidP="0054378D">
      <w:pPr>
        <w:pStyle w:val="ListParagraph"/>
        <w:numPr>
          <w:ilvl w:val="0"/>
          <w:numId w:val="2"/>
        </w:numPr>
        <w:tabs>
          <w:tab w:val="left" w:pos="360"/>
        </w:tabs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E11200">
        <w:rPr>
          <w:rFonts w:ascii="Times New Roman" w:hAnsi="Times New Roman" w:cs="Times New Roman"/>
          <w:sz w:val="24"/>
          <w:szCs w:val="24"/>
        </w:rPr>
        <w:t>extraordinary</w:t>
      </w:r>
      <w:r>
        <w:rPr>
          <w:rFonts w:ascii="Times New Roman" w:hAnsi="Times New Roman" w:cs="Times New Roman"/>
          <w:sz w:val="24"/>
          <w:szCs w:val="24"/>
        </w:rPr>
        <w:t xml:space="preserve"> costs not covered by this chart must be approved by CTE department prior to event. </w:t>
      </w:r>
    </w:p>
    <w:p w14:paraId="27EBD045" w14:textId="77777777" w:rsidR="00835281" w:rsidRDefault="00835281" w:rsidP="00B34790"/>
    <w:sectPr w:rsidR="00835281" w:rsidSect="00A30972">
      <w:headerReference w:type="default" r:id="rId17"/>
      <w:footerReference w:type="default" r:id="rId18"/>
      <w:pgSz w:w="12240" w:h="15840"/>
      <w:pgMar w:top="1440" w:right="1440" w:bottom="1440" w:left="20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CD52" w14:textId="77777777" w:rsidR="00527CCD" w:rsidRDefault="00527CCD" w:rsidP="00CC599E">
      <w:pPr>
        <w:spacing w:after="0" w:line="240" w:lineRule="auto"/>
      </w:pPr>
      <w:r>
        <w:separator/>
      </w:r>
    </w:p>
  </w:endnote>
  <w:endnote w:type="continuationSeparator" w:id="0">
    <w:p w14:paraId="552FE060" w14:textId="77777777" w:rsidR="00527CCD" w:rsidRDefault="00527CCD" w:rsidP="00CC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52D3" w14:textId="6921B161" w:rsidR="00D24486" w:rsidRDefault="00D24486">
    <w:pPr>
      <w:pStyle w:val="Footer"/>
    </w:pPr>
    <w:r>
      <w:t xml:space="preserve">Updated </w:t>
    </w:r>
    <w:r w:rsidR="00AC06AD">
      <w:t>07/28/2021</w:t>
    </w:r>
    <w:r w:rsidR="00ED1CD2">
      <w:tab/>
    </w:r>
    <w:r w:rsidR="00ED1CD2">
      <w:tab/>
    </w:r>
    <w:r w:rsidR="00AC06AD">
      <w:t>J. Missildine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CED7" w14:textId="77777777" w:rsidR="00527CCD" w:rsidRDefault="00527CCD" w:rsidP="00CC599E">
      <w:pPr>
        <w:spacing w:after="0" w:line="240" w:lineRule="auto"/>
      </w:pPr>
      <w:r>
        <w:separator/>
      </w:r>
    </w:p>
  </w:footnote>
  <w:footnote w:type="continuationSeparator" w:id="0">
    <w:p w14:paraId="26392D13" w14:textId="77777777" w:rsidR="00527CCD" w:rsidRDefault="00527CCD" w:rsidP="00CC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C168" w14:textId="0912490F" w:rsidR="0054378D" w:rsidRDefault="00CC599E" w:rsidP="00835281">
    <w:pPr>
      <w:pStyle w:val="Header"/>
      <w:jc w:val="center"/>
      <w:rPr>
        <w:b/>
        <w:sz w:val="36"/>
        <w:szCs w:val="36"/>
      </w:rPr>
    </w:pPr>
    <w:r w:rsidRPr="00835281">
      <w:rPr>
        <w:b/>
        <w:sz w:val="36"/>
        <w:szCs w:val="36"/>
      </w:rPr>
      <w:t>C</w:t>
    </w:r>
    <w:r w:rsidR="00835281">
      <w:rPr>
        <w:b/>
        <w:sz w:val="36"/>
        <w:szCs w:val="36"/>
      </w:rPr>
      <w:t>areer and Technical Student Organizations (CTSO)</w:t>
    </w:r>
    <w:r w:rsidRPr="00835281">
      <w:rPr>
        <w:b/>
        <w:sz w:val="36"/>
        <w:szCs w:val="36"/>
      </w:rPr>
      <w:t xml:space="preserve"> </w:t>
    </w:r>
    <w:r w:rsidR="00835281" w:rsidRPr="00835281">
      <w:rPr>
        <w:b/>
        <w:sz w:val="36"/>
        <w:szCs w:val="36"/>
      </w:rPr>
      <w:t>Competition Allocation of Responsibility of Cost</w:t>
    </w:r>
    <w:r w:rsidRPr="00835281">
      <w:rPr>
        <w:b/>
        <w:sz w:val="36"/>
        <w:szCs w:val="36"/>
      </w:rPr>
      <w:t xml:space="preserve"> Schedule</w:t>
    </w:r>
  </w:p>
  <w:p w14:paraId="3BEE9397" w14:textId="77777777" w:rsidR="008D2B48" w:rsidRPr="00835281" w:rsidRDefault="008D2B48" w:rsidP="00835281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716"/>
    <w:multiLevelType w:val="hybridMultilevel"/>
    <w:tmpl w:val="20FA573E"/>
    <w:lvl w:ilvl="0" w:tplc="704A5C94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15B9F"/>
    <w:multiLevelType w:val="multilevel"/>
    <w:tmpl w:val="345E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B63EE"/>
    <w:multiLevelType w:val="hybridMultilevel"/>
    <w:tmpl w:val="E8B8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456947">
    <w:abstractNumId w:val="0"/>
  </w:num>
  <w:num w:numId="2" w16cid:durableId="2037267276">
    <w:abstractNumId w:val="2"/>
  </w:num>
  <w:num w:numId="3" w16cid:durableId="59535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0MDQ3MTE0MjM2NTdT0lEKTi0uzszPAykwqgUAri+YqiwAAAA="/>
  </w:docVars>
  <w:rsids>
    <w:rsidRoot w:val="00CC599E"/>
    <w:rsid w:val="001B403A"/>
    <w:rsid w:val="001D4CF7"/>
    <w:rsid w:val="00206B35"/>
    <w:rsid w:val="00314487"/>
    <w:rsid w:val="00460948"/>
    <w:rsid w:val="00527CCD"/>
    <w:rsid w:val="0054378D"/>
    <w:rsid w:val="005455D2"/>
    <w:rsid w:val="005D4AB0"/>
    <w:rsid w:val="00835281"/>
    <w:rsid w:val="008C0528"/>
    <w:rsid w:val="008D2B48"/>
    <w:rsid w:val="009402F0"/>
    <w:rsid w:val="00A05CD9"/>
    <w:rsid w:val="00A30972"/>
    <w:rsid w:val="00A60F97"/>
    <w:rsid w:val="00AC06AD"/>
    <w:rsid w:val="00B34790"/>
    <w:rsid w:val="00B431C5"/>
    <w:rsid w:val="00CB7B1D"/>
    <w:rsid w:val="00CC599E"/>
    <w:rsid w:val="00D24486"/>
    <w:rsid w:val="00D3231C"/>
    <w:rsid w:val="00DC1749"/>
    <w:rsid w:val="00DF7280"/>
    <w:rsid w:val="00E11200"/>
    <w:rsid w:val="00ED1CD2"/>
    <w:rsid w:val="00EE222C"/>
    <w:rsid w:val="00EF61F8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DAE0"/>
  <w15:chartTrackingRefBased/>
  <w15:docId w15:val="{920EBC44-1C26-45B3-9411-B0063916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99E"/>
  </w:style>
  <w:style w:type="paragraph" w:styleId="Footer">
    <w:name w:val="footer"/>
    <w:basedOn w:val="Normal"/>
    <w:link w:val="FooterChar"/>
    <w:uiPriority w:val="99"/>
    <w:unhideWhenUsed/>
    <w:rsid w:val="00CC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99E"/>
  </w:style>
  <w:style w:type="paragraph" w:styleId="ListParagraph">
    <w:name w:val="List Paragraph"/>
    <w:basedOn w:val="Normal"/>
    <w:uiPriority w:val="34"/>
    <w:qFormat/>
    <w:rsid w:val="00B347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30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bpa.com/" TargetMode="External"/><Relationship Id="rId13" Type="http://schemas.openxmlformats.org/officeDocument/2006/relationships/hyperlink" Target="http://www.skillsusatx.or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xashosa.or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exastsa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xasfccl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xasffa.org/" TargetMode="External"/><Relationship Id="rId10" Type="http://schemas.openxmlformats.org/officeDocument/2006/relationships/hyperlink" Target="http://www.fblatx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xasdeca.org/" TargetMode="External"/><Relationship Id="rId14" Type="http://schemas.openxmlformats.org/officeDocument/2006/relationships/hyperlink" Target="http://tafeonl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69DFD-C3C7-4D01-BF4F-422D0D53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ISD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Vahalik, Johnny</dc:creator>
  <cp:keywords/>
  <dc:description/>
  <cp:lastModifiedBy>Missildine, Justin A</cp:lastModifiedBy>
  <cp:revision>2</cp:revision>
  <cp:lastPrinted>2017-02-16T21:34:00Z</cp:lastPrinted>
  <dcterms:created xsi:type="dcterms:W3CDTF">2023-01-06T15:02:00Z</dcterms:created>
  <dcterms:modified xsi:type="dcterms:W3CDTF">2023-01-06T15:02:00Z</dcterms:modified>
</cp:coreProperties>
</file>